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ACPR/128/2025 vom 24. Januar 2025</w:t>
      </w:r>
    </w:p>
    <w:p>
      <w:r>
        <w:t>GE Cour de justice, 2025-01-24, FR</w:t>
      </w:r>
    </w:p>
    <w:p>
      <w:r>
        <w:rPr>
          <w:b/>
        </w:rPr>
        <w:t xml:space="preserve">Quelle: </w:t>
      </w:r>
      <w:r>
        <w:t>https://mcp.opencaselaw.ch/entscheid/ge_gerichte_ACPR_128_2025</w:t>
      </w:r>
    </w:p>
    <w:p>
      <w:r>
        <w:t>FR: GE_GERICHTE ACPR/128/2025 du 24 janvier 2025</w:t>
      </w:r>
    </w:p>
    <w:p>
      <w:r>
        <w:t>IT: GE_GERICHTE ACPR/128/2025 del 24 gennaio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 prononce pas vraiment sur les charges pesant à son encontre, se contentant d'affirmer que celles-ci devraient se renforcer au fur et à mesure de l'avancée de l'instruction et de contester certains des faits qui lui sont reprochés. Cela étant, les charges apparaissent suffisantes à ce stade de l'instruction, au vu des constatations de la police, des images de vidéosurveillance, des déclarations du témoin et des aveux partiels du recourant, nonobstant ses dénégations partielles. Il peut pour le surplus être renvoyé à la motivation adoptée par le premier juge sur ces aspects (art. 82 al. 4 CPP; ACPR/747/2020 du 22 octobre 2020 consid. 2 et les références).</w:t>
      </w:r>
    </w:p>
    <w:p>
      <w:r>
        <w:rPr>
          <w:b/>
        </w:rPr>
        <w:t>E. 3</w:t>
      </w:r>
    </w:p>
    <w:p>
      <w:r>
        <w:t>Le recourant conteste l'existence d'un risque de fuite.</w:t>
      </w:r>
    </w:p>
    <w:p>
      <w:r>
        <w:rPr>
          <w:b/>
        </w:rPr>
        <w:t>E. 3.1</w:t>
      </w:r>
    </w:p>
    <w:p>
      <w:r>
        <w:t>Conformément à l'art. 221 al. 1 let. a CPP, la détention provisoire peut être ordonnée s'il y a sérieusement lieu de craindre que le prévenu se soustraie à la</w:t>
      </w:r>
    </w:p>
    <w:p>
      <w:r>
        <w:t>- 6/11 - P/1975/2025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La Directive 2008/115/CE – dite "Directive sur le retour" – pose le principe de la priorité des mesures de refoulement sur le prononcé d'une peine privative de liberté du ressortissant d'un pays tiers qui est en séjour illégal (ATF 147 IV 232 consid. 1.2; 143 IV 249 consid. 1.5 et 1.9). Un tel genre de peine ne peut entrer en ligne de compte que lorsque toutes les mesures raisonnables pour l'exécution de la décision de retour ont été entreprises (ATF 147 IV 232 consid. 1.2). Les principes dégagés de la jurisprudence de la Cour de justice de l'Union européenne, examinés sous l'angle de l'art. 115 al. 1 let. b LÉI, doivent être transposés à la rupture de ban, au sens de l'art. 291 CP. Ainsi, la Directive 2008/115/CE n’est pas applicable aux ressortissants des pays tiers qui ont commis, outre le séjour irrégulier, un ou plusieurs autres délits en dehors du droit pénal sur les étrangers (ATF 147 IV 232 consid. 1.1; ATF 143 IV 264 consid. 2.4; arrêt du Tribunal fédéral 6B_275/2022 du 2 septembre 2022 consid. 1.1.2). Il est de jurisprudence constante qu'elle ne s'applique pas en matière de détention provisoire (ibid.)</w:t>
      </w:r>
    </w:p>
    <w:p>
      <w:r>
        <w:rPr>
          <w:b/>
        </w:rPr>
        <w:t>E. 3.3</w:t>
      </w:r>
    </w:p>
    <w:p>
      <w:r>
        <w:t>En l'espèce, c'est en vain que le recourant invoque la Directive sur le retour pour s'opposer à son placement en détention provisoire, dès lors que celle-ci n'a pas vocation à s'appliquer in casu, ni d'ailleurs devant le juge du fond dans le cas de ressortissants tiers ayant commis, outre une rupture de ban, d'autres crimes ou délits en dehors du droit pénal des étrangers. Or, c'est précisément le cas en l'espèce puisque, outre l'infraction à l'art. 291 CP, le recourant se voit reprocher des faits susceptibles d'être constitutifs de tentative de vol, vol et dommages à la propriété. Le fait que les autorités administratives ne sont jusqu'ici pas parvenues à le renvoyer vers un État tiers – ou ne seraient pas en mesure de le faire dans un avenir proche – n'est ainsi pas déterminant, pas plus que le fait que le recourant aurait jusqu'ici toujours collaboré dans la mesure de ses possibilités. Cela étant, quand bien même le recourant ne serait passible que d'une peine pécuniaire, il ne pourrait en tirer aucun argument dans la mesure où la détention provisoire est admissible aussi lorsque l’une des peines encourues est une peine pécuniaire (ACPR/204/2023 du 21 mars 2023 consid. 3.2; DCPR/101/2022 du 9 mai 2011 consid. 3a ; Y. JEANNERET / A. KUHN / C. PERRIER DEPEURSINGE (éds), Commentaire romand : Code de procédure pénale suisse, 2e éd., Bâle 2019, n. 4 ad art. 221). Dans le cas de l’art. 291 CP, ce n’est en tout cas pas au juge de la détention</w:t>
      </w:r>
    </w:p>
    <w:p>
      <w:r>
        <w:t>- 7/11 - P/1975/2025 d’empiéter sur les prérogatives du juge du fond en estimant que, dans l’alternative des sanctions prévues par cette disposition légale, les circonstances du cas d'espèce et la situation personnelle du recourant – en récidive – appelleraient le choix d’une peine pécuniaire plutôt que d’une peine privative de liberté. Pour le surplus, il existe un risque de fuite concret, au vu de la nationalité étrangère du recourant, de son absence de domicile fixe et d'attaches avec la Suisse et du fait qu'il pourrait dès lors être tenté de prendre la fuite, y compris sous la forme d'une disparition dans la clandestinité, afin d'échapper à la justice helvétique et à la peine privative de liberté à laquelle il pourrait le cas échéant être condamné. Le fait que le recourant indique s'être toujours présenté aux audiences ayant été appointées jusqu'ici n'y change rien, des velléités de fuite étant susceptibles d'apparaitre au fur et à mesure de l'avancée de la procédure, plus particulièrement avec le rapprochement de l'audience de jugement et la perspective d'être incarcéré au terme de celle-ci. Le recourant ne saurait être suivi lorsqu'il prétend disposer d'attaches avec la Suisse. En effet, de ses propres aveux, ses parents et les quatre membres de sa fratrie résident en Algérie. Quant au suivi dont il indique bénéficier actuellement aux HUG ou à la procédure de recours pendante au Tribunal fédéral, ils ne sont pas propres à fonder des attaches avec la Suisse, étant à cet égard précisé que ce n'est pas parce que le recourant devrait se rendre à des rendez-vous médicaux – qu'il serait libre d'honorer ou pas – qu'il ne pourrait pas quitter la Suisse ou disparaitre dans la clandestinité pour se soustraire à la procédure en cours. Compte tenu de ces considérations, c'est à bon droit que le TMC a estimé qu'il existait un risque de fuite concret.</w:t>
      </w:r>
    </w:p>
    <w:p>
      <w:r>
        <w:rPr>
          <w:b/>
        </w:rPr>
        <w:t>E. 4</w:t>
      </w:r>
    </w:p>
    <w:p>
      <w:r>
        <w:t>Au vu de ce qui précède, soit un risque indiscutable de fuite, point n'est besoin d'examiner si d'autres risques alternatifs s'y ajoutent (arrêts du Tribunal fédéral 7B_830/2024 du 4 septembre 2024 consid. 3 et 7B_188/2024 du 12 mars 2024 consid. 6.3.1).</w:t>
      </w:r>
    </w:p>
    <w:p>
      <w:r>
        <w:rPr>
          <w:b/>
        </w:rPr>
        <w:t>E. 5</w:t>
      </w:r>
    </w:p>
    <w:p>
      <w:r>
        <w:t>Le recourant propose des mesures de substitution pour pallier le risque retenu.</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saisie des documents d'identité et autres documents officiels (al. 2 let. b), l'assignation à résidence ou l'interdiction de se rendre dans un certain lieu ou un certain immeuble (al. 2 let. c), l'obligation de se présenter régulièrement à un service administratif (al. 2 let. d) ou d'avoir un travail régulier (al. 2 let. e). La liste des mesures de substitution énoncée à</w:t>
      </w:r>
    </w:p>
    <w:p>
      <w:r>
        <w:t>- 8/11 - P/1975/2025 l'art. 237 CPP n'est pas exhaustive (arrêt du Tribunal fédéral 1B_654/2011 du</w:t>
      </w:r>
    </w:p>
    <w:p>
      <w:r>
        <w:rPr>
          <w:b/>
        </w:rPr>
        <w:t>E. 5.2</w:t>
      </w:r>
    </w:p>
    <w:p>
      <w:r>
        <w:t>Une assignation à résidence, éventuellement couplée à un bracelet électronique, sert uniquement à s'assurer qu'une personne assignée à résidence ou interdite de périmètre est bien à l'emplacement prescrit aux heures prévues ou, au contraire, n'est pas à un endroit où l'accès lui est interdit (arrêt du Tribunal fédéral 1B_142/2018 du 5 avril 2018 consid. 2.1 et les références citées). Un tel outil ne permet pas de prévenir une fuite en temps réel, mais uniquement de la constater a posteriori (ATF 145 IV 503 consid. 3.3.1). Il n'est en effet pas exclu que le porteur d'un dispositif de surveillance électronique puisse fuir et, notamment, passer une frontière avant que les forces de l'ordre ne parviennent à l'arrêter, en particulier en cas de résidence proche d'une frontière (cf. ATF 145 IV 503 consid. 3.3).</w:t>
      </w:r>
    </w:p>
    <w:p>
      <w:r>
        <w:rPr>
          <w:b/>
        </w:rPr>
        <w:t>E. 5.3</w:t>
      </w:r>
    </w:p>
    <w:p>
      <w:r>
        <w:t>En l'espèce, on ne voit pas quelle mesure de substitution (art. 237 CPP) entrerait en considération pour pallier la vraisemblance que, par exemple, le recourant ne s'enfuie ou ne poursuive un séjour clandestin en Suisse. Comme relevé à juste titre par le premier juge, une assignation à résidence du recourant permettrait tout au plus de constater sa fuite a posteriori, mais non de l'empêcher. Il en va de même d'une éventuelle obligation qui lui serait faite de se présenter régulièrement à un service administratif. La Chambre de céans ne saurait, quoiqu'il en soit, autoriser ou ratifier, si ce n'est encourager, par des mesures de substitution, la commission de l'infraction à l'art. 291 CP en laissant se perpétuer la présence du recourant en Suisse, s'il était libéré (ACPR/914/2021 du 22 décembre 2021 consid. 3; ACPR/359/2019 du 15 mai 2019 consid. 5). C'est ainsi à bon droit que le TMC a considéré que seul le placement en détention provisoire du recourant était de nature à pallier le risque précité. 6. Le recourant considère que son placement en détention provisoire est disproportionné. 6.1. À teneur des art. 197 al. 1 et 212 al. 3 CPP, les autorités pénales doivent respecter le principe de la proportionnalité lorsqu'elles appliquent des mesures de contrainte, afin que la détention provisoire ne dure pas plus longtemps que la peine privative de liberté prévisible. 6.2. En l'espèce, la durée de la détention provisoire du recourant n'est pas disproportionnée au vu de la peine concrètement encourue s'il devait être reconnu coupable des faits reprochés.</w:t>
      </w:r>
    </w:p>
    <w:p>
      <w:r>
        <w:t>- 9/11 - P/1975/2025</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Devant le Ministère public, le recourant est au bénéfice d'une défense d'office, dont il n’a pas demandé l’extension à la présente instance.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 L'indemnité du défenseur d'office sera fixée à la fin de la procédure (art. 135 al. 2 CPP). * * * * *</w:t>
      </w:r>
    </w:p>
    <w:p>
      <w:r>
        <w:t>- 10/11 - P/1975/2025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