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ACPR/128/2021 vom 26. Januar 2021</w:t>
      </w:r>
    </w:p>
    <w:p>
      <w:r>
        <w:t>GE Cour de justice, 2021-01-26, FR</w:t>
      </w:r>
    </w:p>
    <w:p>
      <w:r>
        <w:rPr>
          <w:b/>
        </w:rPr>
        <w:t xml:space="preserve">Quelle: </w:t>
      </w:r>
      <w:r>
        <w:t>https://mcp.opencaselaw.ch/entscheid/ge_gerichte_ACPR_128_2021</w:t>
      </w:r>
    </w:p>
    <w:p>
      <w:r>
        <w:t>FR: GE_GERICHTE ACPR/128/2021 du 26 janvier 2021</w:t>
      </w:r>
    </w:p>
    <w:p>
      <w:r>
        <w:t>IT: GE_GERICHTE ACPR/128/2021 del 26 gennaio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au sens de l'art. 393 CPP est la voie de droit ouverte contre les prononcés rendus en matière de libération conditionnelle par le TAPEM (art. 42 al. 1 let. b LaCP cum ATF 141 IV 187 consid. 1.1 et les références citées), dont le jugement constitue une "autre décision ultérieure" indépendante au sens de l'art. 363</w:t>
      </w:r>
    </w:p>
    <w:p>
      <w:r>
        <w:t>- 8/12 - PM/1356/2020 al. 3 CPP (arrêts du Tribunal fédéral 6B_1136/2015 du 18 juillet 2016 consid. 4.3 et 6B_158/2013 du 25 avril 2013 consid. 2.1; Y. JEANNERET / A. KUHN / C. PERRIER DEPEURSINGE (éds), Commentaire romand : Code de procédure pénale suisse, 2ème éd., Bâle 2019, n. 30 ad art. 363). La procédure devant la Chambre de céans est régie par le CPP, applicable au titre de droit cantonal supplétif (art. 42 al. 2 LaCP).</w:t>
      </w:r>
    </w:p>
    <w:p>
      <w:r>
        <w:rPr>
          <w:b/>
        </w:rPr>
        <w:t>E. 2.2</w:t>
      </w:r>
    </w:p>
    <w:p>
      <w:r>
        <w:t>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3</w:t>
      </w:r>
    </w:p>
    <w:p>
      <w:r>
        <w:t>La pièce déposée après l'échéance du délai de recours constitue un moyen de preuve nouveau, que le recourant n'était pas en mesure de déposer plus tôt, de sorte qu'elle sera déclarée recevable (arrêts du Tribunal fédéral 1B_368/2014 du 5 février 2015 consid. 3.1 et 3.2 ainsi que 1B_768/2012 du 15 janvier 2013 consid. 2.1).</w:t>
      </w:r>
    </w:p>
    <w:p>
      <w:r>
        <w:rPr>
          <w:b/>
        </w:rPr>
        <w:t>E. 4</w:t>
      </w:r>
    </w:p>
    <w:p>
      <w:r>
        <w:t>Les preuves complémentaires que le recourant souhaite voir administrées par l'autorité de recours – l'apport des pièces comptables des D______ prouvant le nombre de ses versements mensuels en faveur des victimes – ne sont pas nécessaires au traitement du recours (art. 389 al. 3 CPP – cf. consid. 6.3. infra), étant relevé qu'il a, à l'aide de la pièce nouvellement produite, démontré le paiement imminent de CHF 1'000.- en faveur de son compte LAVI. Cette conclusion sera dès lors rejetée.</w:t>
      </w:r>
    </w:p>
    <w:p>
      <w:r>
        <w:rPr>
          <w:b/>
        </w:rPr>
        <w:t>E. 5</w:t>
      </w:r>
    </w:p>
    <w:p>
      <w:r>
        <w:t>Il ne sera pas non plus fait droit à la demande d'audition par la Chambre de céans, le recours faisant l'objet d'une procédure écrite (art. 397 al. 1 CPP), les débats ayant une nature potestative (art. 390 al. 5 CPP). Par ailleurs, l'art. 29 al. 2 Cst. ne confère pas le droit d'être entendu oralement (ATF 134 I 140 consid. 5.3 p. 148 et les références citées).</w:t>
      </w:r>
    </w:p>
    <w:p>
      <w:r>
        <w:rPr>
          <w:b/>
        </w:rPr>
        <w:t>E. 6</w:t>
      </w:r>
    </w:p>
    <w:p>
      <w:r>
        <w:t>Le recourant conteste le refus de libération conditionnelle.</w:t>
      </w:r>
    </w:p>
    <w:p>
      <w:r>
        <w:rPr>
          <w:b/>
        </w:rPr>
        <w:t>E. 6.1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w:t>
      </w:r>
    </w:p>
    <w:p>
      <w:r>
        <w:t>- 9/12 - PM/1356/2020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6.2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6.3</w:t>
      </w:r>
    </w:p>
    <w:p>
      <w:r>
        <w:t>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 AARP/309/2013 du 11 juin 2013 consid. 2.2.3 et AARP/14/2014 du 8 janvier 2014 consid. 2.2.3).</w:t>
      </w:r>
    </w:p>
    <w:p>
      <w:r>
        <w:rPr>
          <w:b/>
        </w:rPr>
        <w:t>E. 6.4</w:t>
      </w:r>
    </w:p>
    <w:p>
      <w:r>
        <w:t>En l'espèce, c'est à bon droit que le TAPEM a retenu un pronostic défavorable. En 2005, le recourant a été mis au bénéfice d'une libération conditionnelle. S'il n'a, certes, pas récidivé en Suisse durant le délai d'épreuve de 5 ans, il a été condamné en France en 2010, puis a commis, en 2015, le brigandage et les autres infractions qui lui ont valu d'être condamné à la peine de prison de six ans qu'il purge actuellement. Par la suite, alors qu'il était détenu depuis 2015 pour ces derniers actes, le recourant a commis, en détention, le 3 août 2016, un acte de violence ou menace contre les autorités et les fonctionnaires, ainsi que, le 23 septembre 2018, un délit à la loi fédérale sur les stupéfiants. Il s'ensuit que le risque de récidive d'actes violents, retenu comme élevé par les experts psychiatre en 2016, loin d'être dépassé, s'est bel et bien réalisé, durant son parcours carcéral.</w:t>
      </w:r>
    </w:p>
    <w:p>
      <w:r>
        <w:t>- 10/12 - PM/1356/2020 C'est ainsi en vain que le recourant met en avant son travail d'introspection, sa volonté d'indemniser les victimes – notamment par son récent versement de CHF 1'000.- en leur faveur –, ainsi que par son intention d'embrasser le métier de boulanger/pâtissier et ouvrir une boulangerie. Qu'il ait ou non d'ores et déjà les moyens financiers de mener à bien ce projet et la capacité d'exercer ce métier – dont il n'a pas fait état lors de l'élaboration du PES, en 2019, et pour lequel il n'a à l'heure actuelle suivi aucune formation –, force est de constater que le pronostic est à ce point défavorable, en raison du risque élevé de récidive, que les conditions à l'octroi de la libération conditionnelle ne sont pas remplies. À cet égard, le soutien de sa famille n'est pas suffisant à pallier le risque précité, l'entourage ayant déjà été présent lors des précédents passages à l'acte. Peu importe également, au vu des principes jurisprudentiels précités, que le recourant serait remis, en cas de libération, aux autorités françaises en vue de son extradition. Le juge suisse ne saurait en effet s'accommoder d'un risque de réitération dans le pays d'origine du recourant, où il a également été condamné pour des infractions mettant en danger l'intégrité physique de tiers.</w:t>
      </w:r>
    </w:p>
    <w:p>
      <w:r>
        <w:rPr>
          <w:b/>
        </w:rPr>
        <w:t>E. 7</w:t>
      </w:r>
    </w:p>
    <w:p>
      <w:r>
        <w:t>Justifié, le jugement querellé sera donc confirmé.</w:t>
      </w:r>
    </w:p>
    <w:p>
      <w:r>
        <w:rPr>
          <w:b/>
        </w:rPr>
        <w:t>E. 8</w:t>
      </w:r>
    </w:p>
    <w:p>
      <w:r>
        <w:t>Le recourant, qui succombe, supportera les frais envers l'État, arrêtés en totalité à CHF 600.-, y compris un émolument pour la présente décision (art. 428 al. 1 CPP et</w:t>
      </w:r>
    </w:p>
    <w:p>
      <w:r>
        <w:rPr>
          <w:b/>
        </w:rPr>
        <w:t>E. 13</w:t>
      </w:r>
    </w:p>
    <w:p>
      <w:r>
        <w:t>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 9. L'indemnité du défenseur d'office – qui n'a ni chiffré ni a fortiori établi ses frais –, sera fixée à CHF 646.20 (TVA à 7.7 % incluse), correspondant à 3 heures au tarif horaire prévu à l'art. 16 al. 1 let. c RAJ pour un acte de 13 pages, dont 4 de discussion juridique dont le contenu reprend en grande partie les observations déposées devant le TAPEM. * * * * *</w:t>
      </w:r>
    </w:p>
    <w:p>
      <w:r>
        <w:t>- 11/12 - PM/1356/2020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