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ACPR/128/2019 vom 18. Januar 2019</w:t>
      </w:r>
    </w:p>
    <w:p>
      <w:r>
        <w:t>GE Cour de justice, 2019-01-18, FR</w:t>
      </w:r>
    </w:p>
    <w:p>
      <w:r>
        <w:rPr>
          <w:b/>
        </w:rPr>
        <w:t xml:space="preserve">Quelle: </w:t>
      </w:r>
      <w:r>
        <w:t>https://mcp.opencaselaw.ch/entscheid/ge_gerichte_ACPR_128_2019</w:t>
      </w:r>
    </w:p>
    <w:p>
      <w:r>
        <w:t>FR: GE_GERICHTE ACPR/128/2019 du 18 janvier 2019</w:t>
      </w:r>
    </w:p>
    <w:p>
      <w:r>
        <w:t>IT: GE_GERICHTE ACPR/128/2019 del 18 gennaio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jurisprudence admet l’allégation de faits et la production de moyens de preuve nouveaux devant l'instance de recours au moment du dépôt du recours (arrêt du Tribunal fédéral 1B_768/2012 du 15 janvier 2013 consid. 2.1). La Chambre de céans jouit d'un plein pouvoir de cognition en droit, en fait et en opportunité (art. 393 al. 2 CPP) (ATF 137 I 195 consid. 2.3.2 p. 197; arrêt du Tribunal fédéral 1B_524/2012 du 15 novembre 2012 consid. 2.1).</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- 12/18 - P/20357/2018</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 5.2. En l'espèce, le recourant a déjà été condamné, le 22 juin 2018, soit récemment, pour des actes de dommages à la propriété, menaces, tentative de contrainte et voies de fait. Les faits qui lui sont reprochés ici semblent dénoter chez lui une propension à la violence et à l'agressivité face à une contrariété. Cette absence de maîtrise de soi, à réitérées reprises, peut faire craindre de sa part de nouveaux comportements répréhensibles susceptibles de mettre en danger l'intégrité physique et psychique de tiers. C'est du reste dans cette optique qu'une expertise psychiatrique a été ordonnée. Le recourant ne démontre pas le contraire et s'égare en reprochant au premier juge d'avoir retenu ce risque sans qu'un élément nouveau ne survienne depuis sa mise en détention. Le risque de collusion, déjà retenu par le TMC lors de la mise en détention du prévenu et rappelé lors de sa décision de refus de mise en liberté – et non contesté par lui à ces occasions –, perdure manifestement.</w:t>
      </w:r>
    </w:p>
    <w:p>
      <w:r>
        <w:t>- 15/18 - P/20357/2018 6. Vu l'admission des risques précités, il est inutile d'examiner s'il existe également un risque de fuite. 7. 7.1.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t>7.2. Suivant la jurisprudence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l'art. 29 al. 2 Cst. (ATF 123 I 31 consid. 2c p. 34; 114 Ia 281 consid. 4c p. 285; 103 Ia 407 consid. 3a p. 409; arrêt du Tribunal fédéral 1B_295/2014 du 23 septembre 2014 consid. 2.3; cf. aussi l'arrêt 6B_585/2015 du 7 décembre 2016 consid. 1.3.). 7.3. En l'occurrence, le TMC a considéré qu'aucune mesure de substitution n'était susceptible d'atteindre le but de la détention, au vu des risques retenus, comme cela avait déjà été mentionné dans son ordonnance de refus de mise en liberté du 24 décembre 2018. Le recourant n'ayant pas fait valoir d'éléments nouveaux sous cet angle, en tant qu'il réitérait les mêmes mesures de substitution qu'il avait déjà sollicitées à l'appui de sa demande de mise en liberté, le TMC était fondé à se référer à sa précédente décision – motivée – pour les rejeter. Ce rejet doit être confirmé. On ne voit pas quelle mesure de substitution serait de nature à pallier le risque concret de collusion et le recourant n'en propose au demeurant aucune. Quant aux mesures proposées pour remédier au risque de réitération, elles apparaissent insuffisantes. Non seulement le recourant n'a entrepris aucune démarche thérapeutique mais encore rien n'indique, en l'état du dossier, qu'il ne souffre pas</w:t>
      </w:r>
    </w:p>
    <w:p>
      <w:r>
        <w:t>- 16/18 - P/20357/2018 d'une pathologie pouvant expliquer ses comportements impulsifs et violents, laquelle nécessiterait des soins adaptés que seule l'expertise psychiatrique ordonnée pourra cerner. Tant que la dangerosité du recourant ne sera pas évaluée, rien n'indique donc que le suivi qu'il propose pourra pallier le risque de récidive retenu.</w:t>
      </w:r>
    </w:p>
    <w:p>
      <w:r>
        <w:rPr>
          <w:b/>
        </w:rPr>
        <w:t>E. 8</w:t>
      </w:r>
    </w:p>
    <w:p>
      <w:r>
        <w:t>Eu égard à la peine-menace et concrète encourue si le recourant était reconnu coupable de l'ensemble des faits reprochés, la durée de la détention provisoire subie à ce jour et à l'échéance de la prolongation ordonnée demeure largement proportionnée, vu les actes d'enquête encore en cours.</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E 4 10.03).</w:t>
      </w:r>
    </w:p>
    <w:p>
      <w:r>
        <w:rPr>
          <w:b/>
        </w:rPr>
        <w:t>E. 11</w:t>
      </w:r>
    </w:p>
    <w:p>
      <w:r>
        <w:t>Il n'y a pas lieu d'indemniser à ce stade le défenseur d'office du recourant (art. 135 al. 2 CPP). * * * * *</w:t>
      </w:r>
    </w:p>
    <w:p>
      <w:r>
        <w:t>- 17/18 - P/20357/2018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