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ACPR/127/2026 vom 6. Februar 2026</w:t>
      </w:r>
    </w:p>
    <w:p>
      <w:r>
        <w:t>GE Cour de justice, 2026-02-06, FR</w:t>
      </w:r>
    </w:p>
    <w:p>
      <w:r>
        <w:rPr>
          <w:b/>
        </w:rPr>
        <w:t xml:space="preserve">Quelle: </w:t>
      </w:r>
      <w:r>
        <w:t>https://mcp.opencaselaw.ch/entscheid/ge_gerichte_ACPR_127_2026</w:t>
      </w:r>
    </w:p>
    <w:p>
      <w:r>
        <w:t>FR: GE_GERICHTE ACPR/127/2026 du 6 février 2026</w:t>
      </w:r>
    </w:p>
    <w:p>
      <w:r>
        <w:t>IT: GE_GERICHTE ACPR/127/2026 del 6 febbraio 2026</w:t>
      </w:r>
    </w:p>
    <w:p>
      <w:pPr>
        <w:pStyle w:val="Heading2"/>
      </w:pPr>
      <w:r>
        <w:t>Erwägungen</w:t>
      </w:r>
    </w:p>
    <w:p>
      <w:r>
        <w:rPr>
          <w:b/>
        </w:rPr>
        <w:t>E. 1.1</w:t>
      </w:r>
    </w:p>
    <w:p>
      <w:r>
        <w:t>Le recours a été interjeté selon la forme et dans le délai prescrits (art. 385 al. 1 et 396 al. 1 CPP). Il concerne une ordonnance sujette à recours auprès de la Chambre de céans (art. 393 al. 1 let. a CPP) et émane des plaignants, parties à la procédure (art. 104 al. 1 let. b CPP).</w:t>
      </w:r>
    </w:p>
    <w:p>
      <w:r>
        <w:rPr>
          <w:b/>
        </w:rPr>
        <w:t>E. 1.2</w:t>
      </w:r>
    </w:p>
    <w:p>
      <w:r>
        <w:t>Cette seule qualité ne suffit toutefois pas pour se voir reconnaître la qualité pour recourir.</w:t>
      </w:r>
    </w:p>
    <w:p>
      <w:r>
        <w:rPr>
          <w:b/>
        </w:rPr>
        <w:t>E. 1.2.1</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w:t>
      </w:r>
    </w:p>
    <w:p>
      <w:r>
        <w:rPr>
          <w:b/>
        </w:rPr>
        <w:t>E. 1.2.2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en règle générale, que le bien juridique individuel dont le lésé invoque l'atteinte soit protégé secondairement ou accessoirement, même si la disposition légale protège en premier lieu des biens juridiques collectifs. En revanche, celui dont les intérêts privés ne sont atteints qu'indirectement par une infraction qui ne lèse que des intérêts publics n'est pas lésé au sens du droit de la procédure pénale (ATF 147 IV 269 consid. 3.1; arrêt du Tribunal fédéral 7B_61/2013 du 3 juin 2025 consid. 3.1).</w:t>
      </w:r>
    </w:p>
    <w:p>
      <w:r>
        <w:rPr>
          <w:b/>
        </w:rPr>
        <w:t>E. 1.2.3</w:t>
      </w:r>
    </w:p>
    <w:p>
      <w:r>
        <w:t>Lors d’infractions contre le patrimoine – au nombre desquelles figurent l'abus de confiance et la gestion déloyale –, le propriétaire des valeurs menacées est considéré comme la personne lésée (arrêt du Tribunal fédéral 1B_118/2017 du 13 juin 2017 consid. 3.1).</w:t>
      </w:r>
    </w:p>
    <w:p>
      <w:r>
        <w:t>- 11/19 - P/10344/2023</w:t>
      </w:r>
    </w:p>
    <w:p>
      <w:r>
        <w:rPr>
          <w:b/>
        </w:rPr>
        <w:t>E. 1.2.4</w:t>
      </w:r>
    </w:p>
    <w:p>
      <w:r>
        <w:t>Le bien juridique protégé par l'art. 305bis CP (blanchiment d'argent) est en premier lieu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(ATF 146 IV 211 consid. 4.2.1; 145 IV 335 consid. 3.1; arrêt du Tribunal fédéral 7B_61/2023 précité consid. 3.3).</w:t>
      </w:r>
    </w:p>
    <w:p>
      <w:r>
        <w:rPr>
          <w:b/>
        </w:rPr>
        <w:t>E. 1.2.5</w:t>
      </w:r>
    </w:p>
    <w:p>
      <w:r>
        <w:t>Au contraire du blanchiment d'argent, l'infraction à l'art. 305ter CP protège uniquement le bien juridique collectif de l'administration de la justice, mais pas d'intérêts juridiques individuels (arrêt du Tribunal fédéral 6B_1374/2020 du 11 mars 2021 consid. 2.5; A. MACALUSO / L. MOREILLON / N. QUELOZ (éds), Commentaire romand, Code pénal II, vol. II, Partie spéciale : art. 111-392 CP, Bâle 2025, n. 3 et 4 ad art. 305ter).</w:t>
      </w:r>
    </w:p>
    <w:p>
      <w:r>
        <w:rPr>
          <w:b/>
        </w:rPr>
        <w:t>E. 1.2.6</w:t>
      </w:r>
    </w:p>
    <w:p>
      <w:r>
        <w:t>Il en va de même pour l'obligation de communiquer prévue à l'art. 37 LBA (U. CASSANI / C. BOVET / K. VILLARD (éds), Commentaire romand, Loi sur le blanchiment d'argent, Bâle, 2022, n. 10 ad art. 37).</w:t>
      </w:r>
    </w:p>
    <w:p>
      <w:r>
        <w:rPr>
          <w:b/>
        </w:rPr>
        <w:t>E. 1.3</w:t>
      </w:r>
    </w:p>
    <w:p>
      <w:r>
        <w:t>En l'espèce, les recourants étaient titulaires des avoirs bancaires nantis, lesquels ont, ensuite, été récupérés par la banque en exécution de l'appel à la garantie. Les agissements qu'ils dénoncent porteraient ainsi atteinte, le cas échéant, à leur patrimoine, de sorte que, par voie de conséquence, ils seraient lésés par les infractions d'abus de confiance et/ou de gestion déloyale, de même que pour le blanchiment d'argent. Leur recours est, partant, recevable sur ces infractions. En revanche, les art. 305ter CP et 37 LBA ne protègent pas d'intérêts privés, mais uniquement l'intérêt collectif de l'administration de la justice. Les recourants ne peuvent dès lors prétendre être lésés par ces dispositions, ni, par extension, disposer d'un intérêt juridiquement protégé à recourir contre leur classement. Leur recours est dès lors irrecevable pour ces deux infractions.</w:t>
      </w:r>
    </w:p>
    <w:p>
      <w:r>
        <w:rPr>
          <w:b/>
        </w:rPr>
        <w:t>E. 2</w:t>
      </w:r>
    </w:p>
    <w:p>
      <w:r>
        <w:t>Les recourants s'opposent au classement de la procédure.</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w:t>
      </w:r>
    </w:p>
    <w:p>
      <w:r>
        <w:t>- 12/19 - P/10344/2023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2.2</w:t>
      </w:r>
    </w:p>
    <w:p>
      <w:r>
        <w:t>Conformément au principe d'instruction de l'art. 6 al. 1 CPP, le ministère public doit établir d'office tous les faits pertinents pour la qualification de l'acte et le jugement du prévenu. Les autorités pénales peuvent, sans violation du droit d'être entendu (art. 29 al. 2 Cst. et art. 3 al. 2 let. c CPP) et du principe de l'instruction, renoncer à l'administration d'autres preuves si, en appréciant les preuves déjà administrées, elles parviennent à la conviction que les faits juridiquement pertinents sont suffisamment établis et si, en outre, elles parviennent à la conclusion, par anticipation, qu'un moyen de preuve valable en soi n'est pas susceptible de modifier leur conviction, acquise sur la base des preuves déjà administrées, quant à la vérité ou à la fausseté d'un fait litigieux (arrêt du Tribunal fédéral 6B_656/2023 du 24 mars 2025 consid. 2.1).</w:t>
      </w:r>
    </w:p>
    <w:p>
      <w:r>
        <w:rPr>
          <w:b/>
        </w:rPr>
        <w:t>E. 2.3</w:t>
      </w:r>
    </w:p>
    <w:p>
      <w:r>
        <w:t>Commet un abus de confiance, au sens de l'art. 138 ch. 1 al. 2 CP, quiconque, sans droit, emploie à son profit ou au profit d'un tiers des valeurs patrimoniales qui lui ont été confiées.</w:t>
      </w:r>
    </w:p>
    <w:p>
      <w:r>
        <w:rPr>
          <w:b/>
        </w:rPr>
        <w:t>E. 2.3.1</w:t>
      </w:r>
    </w:p>
    <w:p>
      <w:r>
        <w:t>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arrêt du Tribunal fédéral 6B_918/2019 du 28 novembre 2019 consid. 4.1).</w:t>
      </w:r>
    </w:p>
    <w:p>
      <w:r>
        <w:rPr>
          <w:b/>
        </w:rPr>
        <w:t>E. 2.3.2</w:t>
      </w:r>
    </w:p>
    <w:p>
      <w:r>
        <w:t>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Il n'y a pas de dessein d'enrichissement illégitime chez celui qui s'approprie une chose pour se payer ou pour tenter de se payer lui-même,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w:t>
      </w:r>
    </w:p>
    <w:p>
      <w:r>
        <w:t>- 13/19 - P/10344/2023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(ATF 105 IV 29 consid. 3a; arrêt du Tribunal fédéral 6B_918/2019 précité consid. 4.1).</w:t>
      </w:r>
    </w:p>
    <w:p>
      <w:r>
        <w:rPr>
          <w:b/>
        </w:rPr>
        <w:t>E. 2.3.3</w:t>
      </w:r>
    </w:p>
    <w:p>
      <w:r>
        <w:t>Dans le contrat de simple compte/dépôt bancaire (execution only), la banque s'engage uniquement à exécuter les instructions ponctuelles d'investissement du client, sans être tenue de veiller à la sauvegarde générale des intérêts de celui-ci (arrêts du Tribunal fédéral 7B_24/2023 du 22 février 2024 consid. 3.3.2; 4A_54/2017 du 29 janvier 2018 consid. 5.1.4). Le devoir d'information de la banque est ici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(ATF 133 III 97 consid. 7.1.1; arrêt du Tribunal fédéral 4A_54/2017 précité).</w:t>
      </w:r>
    </w:p>
    <w:p>
      <w:r>
        <w:rPr>
          <w:b/>
        </w:rPr>
        <w:t>E. 2.4</w:t>
      </w:r>
    </w:p>
    <w:p>
      <w:r>
        <w:t>L'art. 158 CP vise quiconque, en vertu de la loi, d'un mandat officiel ou d'un acte juridique, est tenu de gérer les intérêts pécuniaires d'autrui ou de veiller sur leur gestion et qui, en violation de ses devoirs, porte atteinte à ces intérêts ou permet qu'ils soient lésés (ch. 1 al. 1). La peine est aggravée si l'auteur a agi dans le dessein de se procurer à lui-même ou à un tiers un enrichissement illégitime (ch. 1 al. 3).</w:t>
      </w:r>
    </w:p>
    <w:p>
      <w:r>
        <w:rPr>
          <w:b/>
        </w:rPr>
        <w:t>E. 2.4.1</w:t>
      </w:r>
    </w:p>
    <w:p>
      <w:r>
        <w:t>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arrêt du Tribunal fédéral 6B_608/2020 du 4 décembre 2020 consid. 3.1).</w:t>
      </w:r>
    </w:p>
    <w:p>
      <w:r>
        <w:rPr>
          <w:b/>
        </w:rPr>
        <w:t>E. 2.4.2</w:t>
      </w:r>
    </w:p>
    <w:p>
      <w:r>
        <w:t>Revêt la qualité de gérant celui à qui il incombe, de fait ou formellement, la responsabilité d'administrer un complexe patrimonial non négligeable dans l'intérêt d'autrui (ATF 142 IV 346 consid. 3.2;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arrêt du Tribunal fédéral 6B_815/2020 du 22 décembre 2020 consid. 4.1).</w:t>
      </w:r>
    </w:p>
    <w:p>
      <w:r>
        <w:rPr>
          <w:b/>
        </w:rPr>
        <w:t>E. 2.4.3</w:t>
      </w:r>
    </w:p>
    <w:p>
      <w:r>
        <w:t>En matière d'opérations boursières, s'agissant des devoirs contractuels de diligence et de fidélité de la banque envers son client, la jurisprudence distingue trois types de relations contractuelles: (1) le contrat de gestion de fortune</w:t>
      </w:r>
    </w:p>
    <w:p>
      <w:r>
        <w:t>- 14/19 - P/10344/2023 (Vermögensverwaltungsvertrag), (2) le contrat de conseil en placements (Anlageberatungsvertrag) et (3) la relation de simple compte/dépôt bancaire (blosse Konto-/Depot-Beziehung; execution only) (ATF 133 III 97 consid. 7.1; arrêt du Tribunal fédéral 7B_24/2023 du 22 février 2024 consid. 3.3.2). De la qualification du contrat passé entre la banque et le client dépendent l'objet exact et l'étendue des devoirs contractuels d'information, de conseil et d'avertissement de la banque (Aufklärungs-, Beratungs- und Warnpflichten). Ces devoirs contractuels découlent des obligations de diligence et de fidélité ancrées dans les règles du mandat (art. 398 al. 2 CO), dans le principe de la confiance (art. 2 CC) ou encore dans l'art. 11 de la loi fédérale sur les bourses et le commerce de valeurs mobilières du 24 mars 1995 (LBVM; RS 954.1) (arrêt du Tribunal fédéral 7B_24/2023 précité). La qualité de gérant a été niée à la banque lors d’une relation bancaire de type execution only lorsque la banque s’était octroyé le droit de liquider de manière autonome les positions des clients, dès lors que le but de ces clauses était de protéger les intérêts de la banque et ne permettait pas de prendre des décisions liées aux investissements des clients (cf. arrêt du Tribunal fédéral 7B_24/2023 précité; A. MACALUSO / L. MOREILLON / N. QUELOZ (éds), op. cit., n. 40 ad art. 158).</w:t>
      </w:r>
    </w:p>
    <w:p>
      <w:r>
        <w:rPr>
          <w:b/>
        </w:rPr>
        <w:t>E. 2.5</w:t>
      </w:r>
    </w:p>
    <w:p>
      <w:r>
        <w:t>L'art. 305bis CP vise le comportement de quiconque commet un acte propre à entraver l'identification de l'origine, la découverte ou la confiscation de valeurs patrimoniales dont il sait ou doit présumer qu'elles provenaient d'un crime.</w:t>
      </w:r>
    </w:p>
    <w:p>
      <w:r>
        <w:rPr>
          <w:b/>
        </w:rPr>
        <w:t>E. 2.5.1</w:t>
      </w:r>
    </w:p>
    <w:p>
      <w:r>
        <w:t>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arrêt du Tribunal fédéral 6B_1016/2023 du 19 mars 2024 consid. 2.1.2).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144 IV 172 consid. 7.2.2). L'acte d'entrave peut être constitué par n'importe quel comportement propre à faire obstacle à l'identification de l'origine, la découverte ou la confiscation de la valeur patrimoniale provenant d'un crime (ATF 136 IV 188 consid. 6.1; arrêt du Tribunal fédéral 6B_1016/2023 précité).</w:t>
      </w:r>
    </w:p>
    <w:p>
      <w:r>
        <w:rPr>
          <w:b/>
        </w:rPr>
        <w:t>E. 2.5.2</w:t>
      </w:r>
    </w:p>
    <w:p>
      <w:r>
        <w:t>L'infraction de blanchiment d'argent est intentionnelle, le dol éventuel étant suffisant (ATF 149 IV 248 consid. 6.3 p. 254). L'auteur doit vouloir ou accepter que le comportement qu'il choisit d'adopter soit propre à provoquer l'entrave prohibée. Au</w:t>
      </w:r>
    </w:p>
    <w:p>
      <w:r>
        <w:t>- 15/19 - P/10344/2023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149 IV 248 consid. 6.3; 122 IV 211 consid. 2e; 119 IV 242 consid. 2b; arrêt du Tribunal fédéral 6B_295/2022 du 15 septembre 2022 consid. 1.2).</w:t>
      </w:r>
    </w:p>
    <w:p>
      <w:r>
        <w:rPr>
          <w:b/>
        </w:rPr>
        <w:t>E. 2.6</w:t>
      </w:r>
    </w:p>
    <w:p>
      <w:r>
        <w:t>En l'espèce, les recourants détiennent un compte (auparavant deux) auprès de la banque depuis 2002 à tout le moins. S'il s'agit d'une relation bancaire de longue durée, il n'empêche que, dès que leur gérant de fortune a quitté l'établissement, ils ont suivi ce dernier en signant les documents utiles pour lui confier des pleins pouvoirs de gestion sur leurs avoirs. Contractuellement, la banque intervenait par conséquent dès cet instant à titre dépositaire, sans disposer d'aucune marge de manœuvre pour y réaliser des opérations, ni revêtir une quelconque responsabilité à l'égard des recourants pour les instructions reçues. Les recourants soutiennent que la banque aurait adopté une attitude active, en acceptant un prêt nanti par leurs avoirs et en faisant subséquemment appel à la garantie. Ils perdent toutefois de vue que par ces opérations, l'établissement bancaire n'a nullement géré leur patrimoine; il a consenti à prêter de l'argent à un client, représenté par le gestionnaire de fortune externe disposant d'une procuration sur leurs avoirs et avec qui, selon les explications reçues, ils avaient des affaires en commun. En résumé, aucun élément ne permet de considérer que la banque offrait un autre service aux recourants qu'un simple compte dépôt, pleinement géré par un tiers externe. Partant, l'établissement n'avait en aucun cas le devoir de protéger les intérêts des recourants. Au contraire, celui-ci s'était contractuellement réservé le droit de faire appel à la garantie, soit les avoirs des recourants, dans le cadre du prêt consenti – à un tiers – pour préserver ses propres intérêts, ce qu'il a finalement fait. La durée de la relation avec les recourants et la somme des avoirs de ceux-ci ne modifient pas cette conclusion. Tout au plus, l'ancienneté de la relation avec les recourants pouvait fonder un devoir de mise en garde de l'établissement qui n'a – en l'occurrence, comme il sera discuté plus bas – en tout état pas été enfreint (cf. ATF 133 III 97 consid. 7.1.2 et 7.2; arrêt du Tribunal fédéral 4A_54/2017 précité consid. 5.1.4). Quoiqu'il en soit, la banque ne revêt pas la qualité de gérant au sens de l'art. 158 CP. Pour l'abus de confiance, les faits dénoncés par les recourants apparaissent moins comme susceptibles d'être constitutifs de cette infraction que comme des reproches globaux adressés à la banque en lien avec – in fine – l'exécution de l'appel à la garantie et la liquidation de leurs avoirs. De toute manière, il ressort du dossier que, dès 2013, la banque a consenti à un tiers des prêts nantis par les avoirs des recourants, sur la base de contrats sur lesquels</w:t>
      </w:r>
    </w:p>
    <w:p>
      <w:r>
        <w:t>- 16/19 - P/10344/2023 figurait la signature – vérifiée – de ces derniers. Certes, les transactions en cause impliquaient une société off-shore, dont l'ayant droit économique – D______ – était le gestionnaire de fortune externe des avoirs utilisés comme garantie. Cela étant, le précité avait expliqué à la banque avoir des affaires en commun avec les recourants, des amis. En outre, J______ a affirmé qu'une telle configuration n'était ni insolite, ni interdite. Par la suite, la banque a transmis aux recourants les contrats de crédits de 2015, lesquels sont vraisemblablement revenus signés puisqu'ils figurent dans les dossiers de la banque. Certes, il n'est pas exclu – compte tenu des déclarations de D______ – que celui-ci ait falsifié la signature de ses clients. La banque ne pouvait toutefois pas le savoir à l'époque. En outre, en envoyant les documents en question par pli simple, la banque n'a fait que se conformer à la demande des recourants, qui avaient fait part de leur souhait de ne plus recevoir leur correspondance par pli recommandé. Les contrats de 2017 comportent également la signature des recourants et, pour les derniers en date, la banque a reçu la confirmation orale ultérieure des intéressés qu'ils les avaient eux-mêmes signés. Dans de telles circonstances, la banque n'avait aucune raison de penser avant l'ouverture de la procédure parallèle contre D______ que les nantissements étaient frauduleux. Même une fois au fait des soupçons – encore indéterminés – contre le précité, la banque disposait des contrats avec la signature – vérifiée – des recourants et des déclarations de ceux-ci affirmant qu'ils avaient signé les plus récents, même s'ils n'avaient vu que la dernière page du document. Par ailleurs, en faisant appel à la garantie, la banque cherchait avant tout à obtenir l'équivalent de la somme prêtée et non remboursée par son cocontractant. Or, ces montants lui étaient contractuellement dus, même si les nantissements prévus pour ces crédits étaient frauduleux, ce qu'elle ne pouvait de toute manière pas savoir au moment de conclure les contrats litigieux. En conclusion, à supposer que les éléments constitutifs de l'infraction d'abus de confiance devaient être envisagés pour les faits dénoncés – question qui n'a pas à être tranchée en l'occurrence –, il n'y aurait de toute manière pas de dessein d'enrichissement illégitime de la banque, qui a respecté son devoir d'information à l'égard des recourants et pouvait légitiment penser qu'elle était en droit de se rembourser avec les avoirs de ces derniers. S'agissant du blanchiment d'argent, on peut d'abord questionner la réalisation de l'élément objectif de l'entrave. En faisant appel à la garantie, la banque a liquidé les positions des recourants de manière à pouvoir transférer USD 3.8 millions du compte des recourants vers celui de son emprunteur. L'opération est documentée et les flux financiers traçables, de sorte</w:t>
      </w:r>
    </w:p>
    <w:p>
      <w:r>
        <w:t>- 17/19 - P/10344/2023 que les fonds en question pourraient a priori être saisis si le Ministère public devait l'ordonner. De toute manière, les valeurs patrimoniales en cause ne proviennent pas – même indirectement – d'un crime; elles s'inscrivent uniquement dans un éventuel cadre criminel. En effet, si les nantissements devaient réellement être frauduleux, les avoirs bancaires des recourants ainsi nantis sont quoiqu'il en soit d'origine licite. Ils sont donc touchés, cas échéant, par une infraction mais ne découlent en tout cas pas de celle-ci, ni d'une quelconque autre. L'appel à la garantie de la banque constitue, pour les recourants, une erreur de l'établissement puisqu'ils n'ont, selon eux, jamais consenti à mettre en gage leurs avoirs. Pour les motifs exposés supra, le remboursement de la banque par les avoirs des recourants ne réalise en tout cas pas un comportement pénalement relevant. Partant, le transfert de USD 3.8 millions depuis le compte des recourants ne découle pas non plus d'une infraction préalable. En définitive, aucune des infractions examinées ne voit ses éléments constitutifs être réalisés et le classement de la procédure s'imposait dès lors. Il n'était pas non plus nécessaire d'effectuer des actes d'instruction complémentaires, ceux-ci n'étant pas en mesure de venir contredire ce qui précède.</w:t>
      </w:r>
    </w:p>
    <w:p>
      <w:r>
        <w:rPr>
          <w:b/>
        </w:rPr>
        <w:t>E. 3</w:t>
      </w:r>
    </w:p>
    <w:p>
      <w:r>
        <w:t>Justifiée, l'ordonnance querellée sera donc confirmée.</w:t>
      </w:r>
    </w:p>
    <w:p>
      <w:r>
        <w:rPr>
          <w:b/>
        </w:rPr>
        <w:t>E. 4</w:t>
      </w:r>
    </w:p>
    <w:p>
      <w:r>
        <w:t>Les recourants, qui succombent, supporteront, conjointement et solidairement, les frais envers l'État, fixés en intégralité à CHF 3'500.- (art. 428 al. 1 CPP et 13 al. 1 du Règlement fixant le tarif des frais en matière pénale, RTFMP ; E 4 10.03), lesquels seront prélevés sur les sûretés versées.</w:t>
      </w:r>
    </w:p>
    <w:p>
      <w:r>
        <w:rPr>
          <w:b/>
        </w:rPr>
        <w:t>E. 5</w:t>
      </w:r>
    </w:p>
    <w:p>
      <w:r>
        <w:t>Corrélativement, aucun dépens ne leur sera alloué (ATF 144 IV 207, consid. 1.8.2). * * * * *</w:t>
      </w:r>
    </w:p>
    <w:p>
      <w:r>
        <w:t>- 18/19 - P/10344/2023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