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ACPR/127/2024 vom 23. Januar 2024</w:t>
      </w:r>
    </w:p>
    <w:p>
      <w:r>
        <w:t>GE Cour de justice, 2024-01-23, FR</w:t>
      </w:r>
    </w:p>
    <w:p>
      <w:r>
        <w:rPr>
          <w:b/>
        </w:rPr>
        <w:t xml:space="preserve">Quelle: </w:t>
      </w:r>
      <w:r>
        <w:t>https://mcp.opencaselaw.ch/entscheid/ge_gerichte_ACPR_127_2024</w:t>
      </w:r>
    </w:p>
    <w:p>
      <w:r>
        <w:t>FR: GE_GERICHTE ACPR/127/2024 du 23 janvier 2024</w:t>
      </w:r>
    </w:p>
    <w:p>
      <w:r>
        <w:t>IT: GE_GERICHTE ACPR/127/2024 del 23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en ce sens qu'il n'avait eu aucune intention de s'opposer à son interpellation et commis seulement une contravention en détenant des stupéfiants. Par ailleurs, comme rien n'avait été entrepris par les autorités helvétiques pour le renvoyer en Guinée, il ne pouvait non</w:t>
      </w:r>
    </w:p>
    <w:p>
      <w:r>
        <w:t>- 5/9 - P/1951/2024 plus être condamné à une peine privative de liberté pour séjour illégal ou rupture de ban.</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w:t>
      </w:r>
    </w:p>
    <w:p>
      <w:r>
        <w:rPr>
          <w:b/>
        </w:rPr>
        <w:t>E. 2.2</w:t>
      </w:r>
    </w:p>
    <w:p>
      <w:r>
        <w:t>La Directive 2008/115/CE – dite "Directive sur le retour" – pose le principe de la priorité des mesures de refoulement sur le prononcé d'une peine privative de liberté du ressortissant d'un pays tiers qui est en séjour illégal (ATF 147 IV 232 consid. 1.2 ; 143 IV 249 consid. 1.5 et 1.9). Un tel genre de peine ne peut entrer en ligne de compte que lorsque toutes les mesures raisonnables pour l'exécution de la décision de retour ont été entreprises (ATF 147 IV 232 consid. 1.2). Les principes dégagés de la jurisprudence de la Cour de justice de l'Union européenne, examinés par le Tribunal fédéral sous l'angle du séjour illégal, doivent être transposés à la rupture de ban au sens de l'art. 291 CP (ATF 147 IV 232 consid. 1.6 ; arrêt du Tribunal fédéral 6B_1092/2021 du 23 mai 2022 consid. 3.1 et la référence citée). Cette disposition punit d'une peine privative de liberté de trois ans au plus ou d'une peine pécuniaire celui qui aura contrevenu à une décision d'expulsion du territoire de la Confédération ou d'un canton. La Directive sur le retour n’est pas applicable aux ressortissants des pays tiers qui ont commis, outre le séjour irrégulier, un ou plusieurs autres délits en dehors du droit pénal sur les étrangers (ATF 147 IV 232 consid. 1.1 ; arrêt du Tribunal fédéral 6B_275/2022 du 2 septembre 2022 consid. 1.1.2). Ces considérations sont applicables à la détention provisoire (ATF 143 IV 264 consid. 2.1 ; arrêt du Tribunal fédéral 1B_31/2022 du 11 février 2022 consid. 2.1).</w:t>
      </w:r>
    </w:p>
    <w:p>
      <w:r>
        <w:rPr>
          <w:b/>
        </w:rPr>
        <w:t>E. 2.3</w:t>
      </w:r>
    </w:p>
    <w:p>
      <w:r>
        <w:t>En l'occurrence, le recourant ne peut être suivi lorsqu'il soutient que la Directive sur le retour lui serait applicable. Il a admis habiter et travailler en Italie – pays lui ayant délivré une carte d'identité et un titre de séjour –. À teneur de son casier judiciaire, son expulsion de Suisse a été exécutée le 20 décembre 2021 et il a déjà été condamné, le 16 novembre 2022, à une peine privative de liberté, notamment pour rupture de ban. Selon ses propres déclarations, lors de sa dernière sortie de prison [le 21 mars 2023], il a été conduit à la frontière italienne avant de quitter volontairement la Suisse pour y revenir à nouveau, le 19 janvier 2024, apparemment pour voir sa fille. Ces éléments suffisent à rendre vraisemblable une nouvelle condamnation à une peine privative de liberté pour rupture de ban.</w:t>
      </w:r>
    </w:p>
    <w:p>
      <w:r>
        <w:t>- 6/9 - P/1951/2024 Par conséquent, les charges retenues par le premier juge sont suffisantes pour autoriser le placement du recourant en détention provisoire. La prétendue innocence du recourant en lien avec l’infraction à l’art. 286 CP devra être plaidée devant le juge du fond.</w:t>
      </w:r>
    </w:p>
    <w:p>
      <w:r>
        <w:rPr>
          <w:b/>
        </w:rPr>
        <w:t>E. 3</w:t>
      </w:r>
    </w:p>
    <w:p>
      <w:r>
        <w:t>Le recourant ne consacre pas une ligne sur les risques de fuite et réitération. Il n'y a donc pas à s'y attarder, mais à renvoyer, en tant que de besoin, à la motivation adoptée par le premier juge (art. 82 al. 4 CPP; ACPR/747/2020 du 22 octobre 2020 consid. 2 et les références).</w:t>
      </w:r>
    </w:p>
    <w:p>
      <w:r>
        <w:rPr>
          <w:b/>
        </w:rPr>
        <w:t>E. 4.1</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4.2</w:t>
      </w:r>
    </w:p>
    <w:p>
      <w:r>
        <w:t>En l'espèce, on ne voit pas quelle mesure de substitution – le recourant n'en proposant au demeurant aucune – serait de nature à pallier les risques retenus, en particulier le risque de fuite concret qu'il présente.</w:t>
      </w:r>
    </w:p>
    <w:p>
      <w:r>
        <w:rPr>
          <w:b/>
        </w:rPr>
        <w:t>E. 5</w:t>
      </w:r>
    </w:p>
    <w:p>
      <w:r>
        <w:t>La durée de la détention provisoire, pour une durée de deux mois, est largement proportionnée à la peine concrètement encourue si le recourant devait être reconnu coupable des infractions dont il est soupçonné.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w:t>
      </w:r>
    </w:p>
    <w:p>
      <w:r>
        <w:t>- 7/9 - P/1951/2024 frais de l'État, notamment contre des décisions de détention provisoire (arrêt du Tribunal fédéral 1B_516/2020 du 3 novembre 2020 consid. 5.1).</w:t>
      </w:r>
    </w:p>
    <w:p>
      <w:r>
        <w:rPr>
          <w:b/>
        </w:rPr>
        <w:t>E. 8.2</w:t>
      </w:r>
    </w:p>
    <w:p>
      <w:r>
        <w:t>En l'espèce, le recourant soulève dans son recours une contestation des charges qui repose, pour l'essentiel, sur une lecture erronée de la jurisprudence et des principes juridiques applicables à la théorie de l'infraction pénale et à la Directive sur le retour, aux éléments constitutifs de la rupture de ban ainsi qu'au pouvoir d'examen de l'autorité de recours en matière de détention avant jugement. Pareilles contestations doivent être considérées comme d'emblée vouées à l'échec en instance de recours au sens de l'art. 222 CPP. Dès lors, la prise en charge des honoraires de son défenseur d'office sera refusée. * * * * *</w:t>
      </w:r>
    </w:p>
    <w:p>
      <w:r>
        <w:t>- 8/9 - P/1951/2024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