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ACPR/127/2020 vom 17. Januar 2020</w:t>
      </w:r>
    </w:p>
    <w:p>
      <w:r>
        <w:t>GE Cour de justice, 2020-01-17, FR</w:t>
      </w:r>
    </w:p>
    <w:p>
      <w:r>
        <w:rPr>
          <w:b/>
        </w:rPr>
        <w:t xml:space="preserve">Quelle: </w:t>
      </w:r>
      <w:r>
        <w:t>https://mcp.opencaselaw.ch/entscheid/ge_gerichte_ACPR_127_2020</w:t>
      </w:r>
    </w:p>
    <w:p>
      <w:r>
        <w:t>FR: GE_GERICHTE ACPR/127/2020 du 17 janvier 2020</w:t>
      </w:r>
    </w:p>
    <w:p>
      <w:r>
        <w:t>IT: GE_GERICHTE ACPR/127/2020 del 17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qui pèsent sur lui.</w:t>
      </w:r>
    </w:p>
    <w:p>
      <w:r>
        <w:rPr>
          <w:b/>
        </w:rPr>
        <w:t>E. 3</w:t>
      </w:r>
    </w:p>
    <w:p>
      <w:r>
        <w:t>Le recourant conteste l'existence d'un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w:t>
      </w:r>
    </w:p>
    <w:p>
      <w:r>
        <w:t>- 8/11 -</w:t>
      </w:r>
    </w:p>
    <w:p>
      <w:r>
        <w:t>P/15083/2019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Le recourant soutient, sous la plume de son conseil, avoir compris le "concept de la séparation judicaire" et avoir pris conscience de la réalité. Force est de constater que, dans le recours, qu'il a lui-même rédigé, le prévenu déclare, au contraire, encore sa flamme à son épouse et soutient que "dans les papiers, on est toujours marié". Cette déclaration fait écho à celle faite devant le Ministère public sur ce qu'il pense du divorce civil et sur sa conviction que, tant que le divorce religieux ne serait pas prononcé, selon la loi islamique – qui exigeait son accord – la plaignante resterait sa femme. On ne peut dès lors sérieusement considérer que le recourant accepte la séparation et serait prêt à garder ses distances d'avec son épouse. La mesure d'éloignement prononcée en 2017 l'ayant laissé totalement indifférent, il est fort à craindre, compte tenu des enjeux de la procédure au regard de son permis F, qu'il se présente chez sa femme et que ses accès de colère violente l'envahissent à nouveau. Le risque de réitération est concret, le recourant étant soupçonné d'avoir donné plusieurs coups de couteau à un inconnu se trouvant chez sa femme et d'avoir blessé cette dernière. L'expertise psychiatrique devra déterminer si des mesures sont de nature à pallier la réitération d'atteinte à l'intégrité corporelle de tiers, l'absence d'antécédents judiciaires spécifiques n'étant pas déterminante (ATF 123 I 268 consid. 2 p. 271).</w:t>
      </w:r>
    </w:p>
    <w:p>
      <w:r>
        <w:rPr>
          <w:b/>
        </w:rPr>
        <w:t>E. 4</w:t>
      </w:r>
    </w:p>
    <w:p>
      <w:r>
        <w:t>Le risque de réitération étant réalisé, il ne sera pas procédé à l'examen des autres risques retenus par les autorités précédentes, étant précisé que l'autorité de recours peut s'en dispenser lorsqu'un des risques prévus à l'art. 221 al. 1 CP est réalisé (arrêt du Tribunal fédéral 1B_322/2019 du 17 juillet 2019 consid. 3.3 et la jurisprudence citée).</w:t>
      </w:r>
    </w:p>
    <w:p>
      <w:r>
        <w:t>- 9/11 -</w:t>
      </w:r>
    </w:p>
    <w:p>
      <w:r>
        <w:t>P/15083/2019</w:t>
      </w:r>
    </w:p>
    <w:p>
      <w:r>
        <w:rPr>
          <w:b/>
        </w:rPr>
        <w:t>E. 5</w:t>
      </w:r>
    </w:p>
    <w:p>
      <w:r>
        <w:t>Le recourant propose des mesures d'éloignement et d'interdiction d'entrer en contact avec sa femme ainsi que par la mise en place d'un suivi thérapeutique, au titre de mesure de substitution.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l'espèce, le recourant a déjà démontré le peu de cas qu'il faisait des mesures d'éloignement ordonnées par le juge civil. Les déclarations d'amour formulées dans son recours ne permettent pas de penser qu'il s'abstiendra de tout contact avec sa femme. Le suivi thérapeutique ne peut être utilement imposé avant la reddition du rapport d'expertise. Aucune autre mesure n'est de nature, en l'état, à pallier le risque de réitération.</w:t>
      </w:r>
    </w:p>
    <w:p>
      <w:r>
        <w:rPr>
          <w:b/>
        </w:rPr>
        <w:t>E. 6</w:t>
      </w:r>
    </w:p>
    <w:p>
      <w:r>
        <w:t>La détention provisoire ordonnée pour une durée de trois mois est conforme au principe de la proportionnalité (art. 197 al. 1 et 212 al. 3 CPP), compte tenu des faits reprochés au recourant, qui a été interpellé le 18 juillet 2019.</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- 10/11 -</w:t>
      </w:r>
    </w:p>
    <w:p>
      <w:r>
        <w:t>P/15083/2019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