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ACPR/126/2023 vom 30. Juni 2022</w:t>
      </w:r>
    </w:p>
    <w:p>
      <w:r>
        <w:t>GE Cour de justice, 2022-06-30, FR</w:t>
      </w:r>
    </w:p>
    <w:p>
      <w:r>
        <w:rPr>
          <w:b/>
        </w:rPr>
        <w:t xml:space="preserve">Quelle: </w:t>
      </w:r>
      <w:r>
        <w:t>https://mcp.opencaselaw.ch/entscheid/ge_gerichte_ACPR_126_2023</w:t>
      </w:r>
    </w:p>
    <w:p>
      <w:r>
        <w:t>FR: GE_GERICHTE ACPR/126/2023 du 30 juin 2022</w:t>
      </w:r>
    </w:p>
    <w:p>
      <w:r>
        <w:t>IT: GE_GERICHTE ACPR/126/2023 del 30 giugno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déterminations du prévenu n'ont pas été déposées en temps utiles, si bien qu'il n'en sera pas tenu compte.</w:t>
      </w:r>
    </w:p>
    <w:p>
      <w:r>
        <w:rPr>
          <w:b/>
        </w:rPr>
        <w:t>E. 2</w:t>
      </w:r>
    </w:p>
    <w:p>
      <w:r>
        <w:t>Le recourant reproche au Ministère public d'avoir classé sa plainte.</w:t>
      </w:r>
    </w:p>
    <w:p>
      <w:r>
        <w:t>- 6/11 - P/24097/2018</w:t>
      </w:r>
    </w:p>
    <w:p>
      <w:r>
        <w:rPr>
          <w:b/>
        </w:rPr>
        <w:t>E. 2.1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Est punissable, sur plainte, quiconque, intentionnellement, se rend coupable de concurrence déloyale au sens des art. 3, 4, 5 ou 6 LCD (art. 23 al. 1 LCD). La LCD vise à garantir, dans l'intérêt de toutes les parties concernées, une concurrence loyale et qui ne soit pas faussée (art. 1 LCD). À teneur de l'art. 23 al. 1 LCD – qui est une infraction de mise en danger abstraite (V. MARTENET / P. PICHONNAZ (éds), Commentaire romand, Loi contre la concurrence déloyale, Bâle 2017, n. 5 ad art. 23) –, quiconque, intentionnellement, se rend coupable de concurrence déloyale au sens des art. 3, 4, 5 ou 6 est, sur plainte, puni d'une peine privative de liberté de trois ans au plus ou d'une peine pécuniaire. L'acte doit être dirigé contre le jeu normal de la concurrence et propre à exercer une influence sur le marché; il doit être objectivement apte à influer sur la concurrence (ATF 126 III 198 consid. 2c/aa p. 202) 2.3.1. Agit de façon déloyale notamment celui qui dénigre autrui, ses marchandises, ses œuvres, ses prestations, ses prix ou ses affaires par des allégations inexactes, fallacieuses ou inutilement blessantes (art. 3 let. a LCD). Est un dénigrement, au sens de cette disposition, le fait de noircir ou faire mépriser quelqu'un ou quelque chose, en en niant les qualités (ATF 122 IV 33 consid. 2c p. 36). Le dénigrement se définit comme un acte visant à atteindre un client actuel ou potentiel de celui qu'il prend pour objet, pour influencer le marché. Le terme "client" doit être compris de manière large: il s'agit non seulement de celui qui recourt aux prestations proposées par la victime, mais également de toute personne amenée à entrer en relation d'affaires avec elle (par exemple le fournisseur à l'égard du</w:t>
      </w:r>
    </w:p>
    <w:p>
      <w:r>
        <w:t>- 7/11 - P/24097/2018 distributeur dénigré). Le nombre de destinataires des affirmations importe peu : il s'agira souvent d'un nombre de personnes important ou indéterminé, il peut également s'agir d'un cercle plus restreint, voire d'une seule personne (V. MARTENET / P. PICHONNAZ (éds), op. cit., Bâle 2017, n. 1, 12 et 29 ad art. 3 al. 1 let. a LCD et les références citées). 2.3.2. Le dénigrement n'est pas illicite en soi. Au contraire, il n'est d'abord que l'expression d'une opinion, dont la liberté fait l'objet de la garantie constitutionnelle (art. 16 Cst). C'est dans ce contexte constitutionnel qu'il y a lieu de faire la part entre le dénigrement licite et le dénigrement illicite. En cas de doute, la licéité l'emporte (V. MARTENET / P. PICHONNAZ (éds), op. cit, n. 20 et 26 ad art. 3 al. 1 let. a LCD).</w:t>
      </w:r>
    </w:p>
    <w:p>
      <w:r>
        <w:rPr>
          <w:b/>
        </w:rPr>
        <w:t>E. 2.4</w:t>
      </w:r>
    </w:p>
    <w:p>
      <w:r>
        <w:t>En l'espèce, le prévenu a mentionné des événements – dont le recourant conteste le déroulement, voire même l'existence – dans ces deux courriels dénoncés pour, d'une part, refuser de participer comme orateur lors de l'édition 2018 de la manifestation et, d'autre part, demander un éloignement entre ses stands et ceux du recourant. Certes, il y dépeint celui-ci en des termes peu courtois, lui attribuant également des comportements inélégants. Cela étant, par sa démarche, le prévenu ne cherchait pas à convaincre les destinataires de ses messages d'écarter le recourant de la manifestation, ni, encore moins, de cesser toute relation commerciale avec lui. En outre, par ses propos, le prévenu ne remet non pas en cause les compétences professionnelles ou entrepreneuriales du recourant mais souligne ses propres réticences à partager une même estrade avec lui ou à le côtoyer au sein d'une manifestation, soit un contexte bien particulier, en raison d'une inimitié réciproque. Ainsi, les messages fussent-ils dénigrants au sens de la LCD, question pouvant ici être laissée ouverte, on ne dépasserait de toute manière pas le cadre de ce qui est acceptable sous l'angle de la liberté d'expression. De plus, la portée de ces propos pouvait aisément être comprise par le cercle restreint des destinataires, actifs dans le monde de la santé également, d'autant que certains pourraient connaître le litige qui oppose les parties ("Comme tu le sais sans doute"). Face à ces constats, il ne peut être retenu que les messages incriminés étaient objectivement susceptibles d'influencer la concurrence, notamment pas entre les protagonistes, puisque le litige ne se situe pas dans l'exercice direct de leur activité économique. À teneur du dossier, il apparaît à l'inverse que ces messages sont restés sans suite pour le recourant, qui est intervenu comme conférencier lors de l'édition 2018 des D______ et qui n'a jamais démontré une quelconque détérioration de ses relations commerciales avec sa propre clientèle ou une diminution de celle-ci.</w:t>
      </w:r>
    </w:p>
    <w:p>
      <w:r>
        <w:t>- 8/11 - P/24097/2018 À titre superfétatoire, le recourant n'allègue pas que les propos incriminés tombent sous le coup d'une atteinte à l'honneur protégée par les art. 173 ss CP et plus particulièrement seraient constitutifs d'une diffamation ou d'une calomnie, ce qui doit être confirmé. En tout état, il y a lieu de considérer que le prévenu tenait ces affirmations pour vraies, qu'il avait des raisons de les penser et qu'il n'agissait pas uniquement dans le dessein de dire du mal du recourant, si bien qu'il pourrait être admis et bénéficier des preuves libératoires (art. 173 ch. 2 et 3 CP). Le classement s'avère par conséquent fondé.</w:t>
      </w:r>
    </w:p>
    <w:p>
      <w:r>
        <w:rPr>
          <w:b/>
        </w:rPr>
        <w:t>E. 3</w:t>
      </w:r>
    </w:p>
    <w:p>
      <w:r>
        <w:t>Le recourant conclut, à titre subsidiaire, à la condamnation du prévenu aux frais de la procédure de l'instance précédente et à ses propres dépenses occasionnées par la procédure.</w:t>
      </w:r>
    </w:p>
    <w:p>
      <w:r>
        <w:rPr>
          <w:b/>
        </w:rPr>
        <w:t>E. 3.1</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p. 205).</w:t>
      </w:r>
    </w:p>
    <w:p>
      <w:r>
        <w:rPr>
          <w:b/>
        </w:rPr>
        <w:t>E. 3.2</w:t>
      </w:r>
    </w:p>
    <w:p>
      <w:r>
        <w:t>On cherche en vain une norme de l'ordre juridique suisse enfreinte par le prévenu en lien avec les messages dénoncés et le recourant n'en avance d'ailleurs aucune. Comme mentionné plus haut, les propos peuvent paraître indélicats et chicaneurs, sans pour autant excéder le cadre de la liberté d'expression. Partant, aucun comportement fautif et illicite ne peut être attribué au prévenu, ce qui exclut de lui imputer les frais de l'instance précédente. Dans la mesure où le recourant n'a pas obtenu gain de cause devant le Ministère public, il n'y avait pas non plus lieu de faire supporter au prévenu les dépens de celui- ci (art. 433 al. 1 a contrario CPP).</w:t>
      </w:r>
    </w:p>
    <w:p>
      <w:r>
        <w:t>- 9/11 - P/24097/2018</w:t>
      </w:r>
    </w:p>
    <w:p>
      <w:r>
        <w:rPr>
          <w:b/>
        </w:rPr>
        <w:t>E. 4</w:t>
      </w:r>
    </w:p>
    <w:p>
      <w:r>
        <w:t>Justifiée, l'ordonnance querellée sera donc confirmée.</w:t>
      </w:r>
    </w:p>
    <w:p>
      <w:r>
        <w:rPr>
          <w:b/>
        </w:rPr>
        <w:t>E. 5</w:t>
      </w:r>
    </w:p>
    <w:p>
      <w:r>
        <w:t>Le recourant, qui succombe, supportera les frais envers l'État, fixés en intégralité à CHF 1'000.- (art. 428 al. 1 CPP et 13 al. 1 du Règlement fixant le tarif des frais en matière pénale, RTFMP ; E 4 10.03). * * * * *</w:t>
      </w:r>
    </w:p>
    <w:p>
      <w:r>
        <w:t>- 10/11 - P/24097/2018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