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ACPR/126/2021 vom 17. Juni 2020</w:t>
      </w:r>
    </w:p>
    <w:p>
      <w:r>
        <w:t>GE Cour de justice, 2020-06-17, FR</w:t>
      </w:r>
    </w:p>
    <w:p>
      <w:r>
        <w:rPr>
          <w:b/>
        </w:rPr>
        <w:t xml:space="preserve">Quelle: </w:t>
      </w:r>
      <w:r>
        <w:t>https://mcp.opencaselaw.ch/entscheid/ge_gerichte_ACPR_126_2021</w:t>
      </w:r>
    </w:p>
    <w:p>
      <w:r>
        <w:t>FR: GE_GERICHTE ACPR/126/2021 du 17 juin 2020</w:t>
      </w:r>
    </w:p>
    <w:p>
      <w:r>
        <w:t>IT: GE_GERICHTE ACPR/126/2021 del 17 giugno 2020</w:t>
      </w:r>
    </w:p>
    <w:p>
      <w:pPr>
        <w:pStyle w:val="Heading2"/>
      </w:pPr>
      <w:r>
        <w:t>Erwägungen</w:t>
      </w:r>
    </w:p>
    <w:p>
      <w:r>
        <w:rPr>
          <w:b/>
        </w:rPr>
        <w:t>E. 1.1</w:t>
      </w:r>
    </w:p>
    <w:p>
      <w:r>
        <w:t>Dans son arrêt du 23 novembre 2020 (ACST/34/2020), la Chambre constitutionnelle de la Cour de justice a admis que la Chambre de céans était compétente pour connaître des recours contre les décisions de l'OCPM rendues en matière de report de l'exécution de l'expulsion pénale au sens de l'art. 66d CP. Cette attribution résultera en outre de la modification de la loi d'application de la loi fédérale sur les étrangers et l'intégration (LaLEI) en cours, laquelle confère au Département de la sécurité, de l'économie et de la santé, soit pour lui l'OCPM, la compétence pour statuer sur le report de l'exécution de l'expulsion. Le nouvel</w:t>
      </w:r>
    </w:p>
    <w:p>
      <w:r>
        <w:t>- 4/7 - PS/34/2020 art. 5 al. 5 LaCP entraînera ainsi la compétence de la Chambre pénale de recours pour statuer sur les recours en la matière, par le truchement des art. 40 al. 1 et 42 al. 1 let. a LaCP.</w:t>
      </w:r>
    </w:p>
    <w:p>
      <w:r>
        <w:rPr>
          <w:b/>
        </w:rPr>
        <w:t>E. 1.2</w:t>
      </w:r>
    </w:p>
    <w:p>
      <w:r>
        <w:t>La procédure devant la Chambre de céans est régie par le CPP, applicable au titre de droit cantonal supplétif (art. 42 al. 2 LaCP).</w:t>
      </w:r>
    </w:p>
    <w:p>
      <w:r>
        <w:rPr>
          <w:b/>
        </w:rPr>
        <w:t>E. 1.3</w:t>
      </w:r>
    </w:p>
    <w:p>
      <w:r>
        <w:t>Le recours a été déposé selon les forme et délai prescrits (art. 385 al. 1, 390 al. 1 et 396 al. 1 CPP), par le condamné, qui a un intérêt juridiquement protégé à l'annulation ou à la modification de la décision attaquée (art. 382 al. 1 CPP).</w:t>
      </w:r>
    </w:p>
    <w:p>
      <w:r>
        <w:rPr>
          <w:b/>
        </w:rPr>
        <w:t>E. 1.4</w:t>
      </w:r>
    </w:p>
    <w:p>
      <w:r>
        <w:t>Partant, il est recevable.</w:t>
      </w:r>
    </w:p>
    <w:p>
      <w:r>
        <w:rPr>
          <w:b/>
        </w:rPr>
        <w:t>E. 2</w:t>
      </w:r>
    </w:p>
    <w:p>
      <w:r>
        <w:t>Le recourant souhaite le report de son expulsion.</w:t>
      </w:r>
    </w:p>
    <w:p>
      <w:r>
        <w:rPr>
          <w:b/>
        </w:rPr>
        <w:t>E. 2.1</w:t>
      </w:r>
    </w:p>
    <w:p>
      <w:r>
        <w:t>L'art. 66a CP stipule que le juge expulse de Suisse l’étranger qui est condamné quelle que soit la quotité de la peine prononcée à son encontre, pour une durée de cinq à quinze ans pour les infractions qu'il liste soit notamment pour vol qualifié (art. 139 ch. 1 et 2 CP), brigandage (art. 140 ch. 1 al. 1 et 2 CP).</w:t>
      </w:r>
    </w:p>
    <w:p>
      <w:r>
        <w:t>À teneur de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Outre le principe de proportionnalité ancré à l'art. 36 al. 3 Cst., l'art. 66a al. 2 CP vise à assurer le respect de règles de droit international. En effet, le législateur, en introduisant cet article, visait à tenir compte des accords internationaux interdisant l’expulsion, soit en particulier l'art. 8 CEDH et l'art. 17 Pacte ONU II (droit au respect de la vie privée et familiale) et la Convention relative aux droits de l’enfant, qui interdit de séparer les enfants de leurs parents contre leur volonté et assure leur droit à entretenir des relations personnelles et des contacts réguliers. Bien que formulé de manière potestative, l'art. 66a al. 2 CP impose au juge de renoncer à expulser l’étranger lorsque le cas de rigueur est réalisé. (L. MOREILLON/ A. MACALUSO / N. QUELOZ / N. DONGOIS (éds), Commentaire romand, Code pénal I : art. 1-110 CP, Bâle 2021, ns. 47 et 48 ad art. 66a).</w:t>
      </w:r>
    </w:p>
    <w:p>
      <w:r>
        <w:rPr>
          <w:b/>
        </w:rPr>
        <w:t>E. 2.2</w:t>
      </w:r>
    </w:p>
    <w:p>
      <w:r>
        <w:t>Selon l'art. 66d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w:t>
      </w:r>
    </w:p>
    <w:p>
      <w:r>
        <w:t>- 5/7 - PS/34/2020 politiques (let. a) ou lorsque d'autres règles impératives du droit international s'opposent à l'expulsion (let. b). L'autorité cantonale compétente doit tenir compte d'office des obstacles à l'exécution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Etat que le Conseil fédéral a désigné comme un Etat sûr au sens de l'art. 6a al. 2 de la loi sur l'asile (LAsi) ne contrevient pas à l'art. 25 al. 2 et 3 Cst. (al. 2). L'annexe 2 de l'OA 1 dresse la liste des pays exempts de persécution, parmi lesquels ne figurent pas la Tunisie. Toutefois, les ressortissants de ce pays obtiennent généralement un faible taux de protection dans les procédures d'asile (SEM, Pays à faible taux de protection, état au 1er octobre 2019, 13 juillet 2020).</w:t>
      </w:r>
    </w:p>
    <w:p>
      <w:r>
        <w:rPr>
          <w:b/>
        </w:rPr>
        <w:t>E. 2.3</w:t>
      </w:r>
    </w:p>
    <w:p>
      <w:r>
        <w:t>En l'espèce, le Tribunal de police a prononcé l'expulsion obligatoire du recourant (art. 66a al. 1 let. c CP) après, nécessairement, examen de l'application de l'art. 66a al. 2 CP – quand bien même le jugement n'a pas été motivé, le recourant n'ayant pas fait appel –, ce que le recourant ne conteste pas.</w:t>
      </w:r>
    </w:p>
    <w:p>
      <w:r>
        <w:t>Le recourant ne remet pas en cause sa nationalité tunisienne et ne prétend pas qu'il risquerait de subir en tunisie des traitements inhumains; au contraire, dans la procédure de libération conditionnelle, il y envisageait sa reconversion professionnelle.</w:t>
      </w:r>
    </w:p>
    <w:p>
      <w:r>
        <w:rPr>
          <w:b/>
        </w:rPr>
        <w:t>E. 3</w:t>
      </w:r>
    </w:p>
    <w:p>
      <w:r>
        <w:t>Justifiée, la décision querellée sera donc confirmée.</w:t>
      </w:r>
    </w:p>
    <w:p>
      <w:r>
        <w:rPr>
          <w:b/>
        </w:rPr>
        <w:t>E. 4</w:t>
      </w:r>
    </w:p>
    <w:p>
      <w:r>
        <w:t>Le recourant, qui succombe, supportera les frais de la procédure de recours (art. 428 al. 1 CPP), qui comprendront un émolument de décision de CHF 800.- (art. 13 al. 1 du Règlement fixant le tarif des frais en matière pénale, RTFMP; E 4 10.03). * * * * *</w:t>
      </w:r>
    </w:p>
    <w:p>
      <w:r>
        <w:t>- 6/7 - PS/34/2020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