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ACPR/120/2026 vom 4. Februar 2026</w:t>
      </w:r>
    </w:p>
    <w:p>
      <w:r>
        <w:t>GE Cour de justice, 2026-02-04, FR</w:t>
      </w:r>
    </w:p>
    <w:p>
      <w:r>
        <w:rPr>
          <w:b/>
        </w:rPr>
        <w:t xml:space="preserve">Quelle: </w:t>
      </w:r>
      <w:r>
        <w:t>https://mcp.opencaselaw.ch/entscheid/ge_gerichte_ACPR_120_2026</w:t>
      </w:r>
    </w:p>
    <w:p>
      <w:r>
        <w:t>FR: GE_GERICHTE ACPR/120/2026 du 4 février 2026</w:t>
      </w:r>
    </w:p>
    <w:p>
      <w:r>
        <w:t>IT: GE_GERICHTE ACPR/120/2026 del 4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t>- 5/9 - P/695/2026</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Dans son recours, le recourant ne prétend pas que les conditions de l’art. 255 al. 1bis CPP ne seraient pas réalisées, au vu de ses précédentes condamnations pour délits à la LStup. Ceci est d'autant plus vrai au vu des circonstances de son interpellation du 11 janvier 2026, à 21h30, dans un tram à sa sortie de Suisse à la douane de Moillesulaz. Sur ce point, le recourant peine à convaincre lorsqu'il indique, ce qui est sa seconde version, avoir été interpellé après qu'il aurait eu pour instruction de son épouse d'aller acheter du poisson fumé, mais s'être égaré en chemin à Genève, à la recherche de la "boutique". La première explication – qu'il a lui-même abandonnée par la suite – n'était pas plus convaincante en cela qu'il était censé amener une "preuve" à un ami qui devait la transmettre à son avocat. Le recourant soutient que la mesure serait disproportionnée car il avait déjà fait l’objet d’établissements de son profil d’ADN par le passé, la dernière fois "au mois de décembre 2025", ce qui ne ressort au demeurant pas du dossier, en particulier du casier judiciaire qui ne mentionne pas de procédure en cours à la fin de l'année 2025 dans le cadre de laquelle un tel prélèvement aurait pu être ordonné. En tout état, il ne paraît ni arbitraire ni contraire au principe de la proportionnalité que chaque arrestation d’un prévenu, qui conduit à la condamnation de ce dernier, puisse donner lieu à l’établissement d’un profil d’ADN, si les conditions de l’art. 255 CPP sont remplies – ce qui est le cas ici –. 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ainsi que d'une atteinte à sa liberté personnelle. Or, on ne voit pas en quoi le nouvel établissement de son profil d'ADN pourrait constituer un tel emploi abusif, puisqu'il a été ordonné sur la base –</w:t>
      </w:r>
    </w:p>
    <w:p>
      <w:r>
        <w:t>- 6/9 - P/695/2026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 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Que le coût de l’ordonnance querellée, de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12 janvier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500.- (art. 428 al. 1 CPP et 13 al. 1 du Règlement fixant le tarif des frais en matière pénale, RTFMP ; E 4 10.03).</w:t>
      </w:r>
    </w:p>
    <w:p>
      <w:r>
        <w:t>- 7/9 - P/695/2026</w:t>
      </w:r>
    </w:p>
    <w:p>
      <w:r>
        <w:rPr>
          <w:b/>
        </w:rPr>
        <w:t>E. 5</w:t>
      </w:r>
    </w:p>
    <w:p>
      <w:r>
        <w:t>Corrélativement, aucun dépens ne lui sera alloué (ATF 144 IV 207 consid. 1.8.2). * * * * *</w:t>
      </w:r>
    </w:p>
    <w:p>
      <w:r>
        <w:t>- 8/9 - P/695/2026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