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ACPR/120/2025 vom 16. Dezember 2024</w:t>
      </w:r>
    </w:p>
    <w:p>
      <w:r>
        <w:t>GE Cour de justice, 2024-12-16, FR</w:t>
      </w:r>
    </w:p>
    <w:p>
      <w:r>
        <w:rPr>
          <w:b/>
        </w:rPr>
        <w:t xml:space="preserve">Quelle: </w:t>
      </w:r>
      <w:r>
        <w:t>https://mcp.opencaselaw.ch/entscheid/ge_gerichte_ACPR_120_2025</w:t>
      </w:r>
    </w:p>
    <w:p>
      <w:r>
        <w:t>FR: GE_GERICHTE ACPR/120/2025 du 16 décembre 2024</w:t>
      </w:r>
    </w:p>
    <w:p>
      <w:r>
        <w:t>IT: GE_GERICHTE ACPR/120/2025 del 16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ne conteste pas la prescription des infractions d'injure, diffamation, voire calomnie et voies de faits. Il n'y sera pas revenu (art. 385 al. 1 let. a CPP).</w:t>
      </w:r>
    </w:p>
    <w:p>
      <w:r>
        <w:rPr>
          <w:b/>
        </w:rPr>
        <w:t>E. 4</w:t>
      </w:r>
    </w:p>
    <w:p>
      <w:r>
        <w:t>Le recourant considère que les conditions d'un classement ne sont pas réalisées pour les autres infractions.</w:t>
      </w:r>
    </w:p>
    <w:p>
      <w:r>
        <w:rPr>
          <w:b/>
        </w:rPr>
        <w:t>E. 4.1</w:t>
      </w:r>
    </w:p>
    <w:p>
      <w:r>
        <w:t>Selon l'art. 319 al. 1 CPP, le ministère public ordonne le classement de tout ou partie de la procédure lorsque les éléments constitutifs d'une infraction ne sont pas réunis (let. b) ou lorsque des faits justificatifs empêchent de retenir une infraction contre le prévenu, tel que ceux prévus aux art. 14 et ss CP. Ces conditions doivent être interprétées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quant à la situation factuelle ou juridique, ce n'est pas à l'autorité d'instruction ou d'accusation mais au juge matériellement compétent qu'il appartient de se prononcer (ATF 143 IV 241 consid. 2.2.1).</w:t>
      </w:r>
    </w:p>
    <w:p>
      <w:r>
        <w:rPr>
          <w:b/>
        </w:rPr>
        <w:t>E. 4.1.1</w:t>
      </w:r>
    </w:p>
    <w:p>
      <w:r>
        <w:t>L'art. 123 ch. 1 CP réprime, sur plainte, les lésions corporelles simples. Un hématome doit être qualifié de lésion corporelle simple, dès lors qu'il résulte de la rupture de vaisseaux sanguins et laisse habituellement des traces durant plusieurs jours (arrêt du Tribunal fédéral 6B_1255/2021 du 4 décembre 2023 consid. 2.4;</w:t>
      </w:r>
    </w:p>
    <w:p>
      <w:r>
        <w:t>- 6/11 - P/17799/2019 AARP/359/2024 du 7 octobre 2024, consid. 3.2.2 et 3.3.5; ACPR/863/2023 du 25 octobre 2023, consid. 2.2.1 et 2.3).</w:t>
      </w:r>
    </w:p>
    <w:p>
      <w:r>
        <w:rPr>
          <w:b/>
        </w:rPr>
        <w:t>E. 4.1.2</w:t>
      </w:r>
    </w:p>
    <w:p>
      <w:r>
        <w:t>L'art. 125 CP réprime le comportement de quiconque, par négligence, fait subir une atteinte à l'intégrité corporelle ou à la santé d'une personne.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134 IV 255 consid. 4.2.3). Pour déterminer plus précisément les devoirs imposés par la prudence, on peut se référer à des normes édictées par l'ordre juridique pour assurer la sécurité et éviter les accidents. Dans le domaine du trafic routier, il convient de se référer aux règles de la circulation routière (ATF 122 IV 133 consid. 2a).</w:t>
      </w:r>
    </w:p>
    <w:p>
      <w:r>
        <w:rPr>
          <w:b/>
        </w:rPr>
        <w:t>E. 4.2</w:t>
      </w:r>
    </w:p>
    <w:p>
      <w:r>
        <w:t>L'art. 303 ch. 1 CP réprime notamment du chef de dénonciation calomnieuse quiconque aura dénoncé à l'autorité, comme auteur d'un crime ou d'un délit, une personne qu'il savait innocente, en vue de faire ouvrir contre elle une poursuite pénale. Sur le plan objectif, une dénonciation calomnieuse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Le juge de la dénonciation calomnieuse est, sauf faits ou moyens de preuve nouveaux, lié par une telle décision (ATF 136 IV 170 consid. 2.1 ; arrêt du Tribunal fédéral 6B_859/2022 du 6 mars 2023 consid. 3.1 et les réf. citées). Sur le plan subjectif, l'auteur doit savoir que la personne qu'il dénonce est innocente. Il ne suffit donc pas qu'il ait conscience que ses allégations pourraient être fausses. Il doit savoir que son affirmation est inexacte. Le dol éventuel ne suffit pas (ATF 136 IV 170 consid. 2.1 ; arrêt du Tribunal fédéral 6B_1248/2021 du 16 août 2022 consid. 2.1.1).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arrêts du Tribunal fédéral 6B_859/2022 du 6 mars 2023 consid. 3.2 ; 6B_1248/2021 précité consid. 2.1.2).</w:t>
      </w:r>
    </w:p>
    <w:p>
      <w:r>
        <w:rPr>
          <w:b/>
        </w:rPr>
        <w:t>E. 4.3</w:t>
      </w:r>
    </w:p>
    <w:p>
      <w:r>
        <w:t>Selon l'art. 186 CP, se rend coupable de violation de domicile quiconque, d'une manière illicite et contre la volonté de l'ayant droit notamment, pénètre dans une</w:t>
      </w:r>
    </w:p>
    <w:p>
      <w:r>
        <w:t>- 7/11 - P/17799/2019 habitation ou y demeure au mépris de l'injonction de sortir à lui adressée par un ayant droit. La violation de domicile n'est punissable que si elle est commise intentionnellement. L'intention comprend la conscience du fait que l'on pénètre ou que l'on demeure contre la volonté de l'ayant droit (A. MACALUSO / L. MOREILLON / N. QUELOZ (éds), Commentaire romand, Code pénal II, n. 44 ad art. 186 CP), mais il faut encore que l'auteur veuille ou accepte de le faire sans droit (arrêt du Tribunal fédéral 6B_1056/2013 du 20 août 2014 consid. 2.1). Le dol éventuel suffit (ATF 108 IV 40 consid. 5c).</w:t>
      </w:r>
    </w:p>
    <w:p>
      <w:r>
        <w:rPr>
          <w:b/>
        </w:rPr>
        <w:t>E. 4.4</w:t>
      </w:r>
    </w:p>
    <w:p>
      <w:r>
        <w:t>L'art. 139 ch. 1 CP punit, du chef de vol, quiconque, pour se procurer ou procurer à un tiers un enrichissement illégitime, soustrait une chose mobilière appartenant à autrui dans le but de se l'approprier.</w:t>
      </w:r>
    </w:p>
    <w:p>
      <w:r>
        <w:rPr>
          <w:b/>
        </w:rPr>
        <w:t>E. 4.5</w:t>
      </w:r>
    </w:p>
    <w:p>
      <w:r>
        <w:t>L'art. 143bis al. 1 CP sanctionne, sur plainte, quiconque s'introduit sans droit, au moyen d'un dispositif de transmission de données, dans un système informatique appartenant à autrui et spécialement protégé contre tout accès de sa part.</w:t>
      </w:r>
    </w:p>
    <w:p>
      <w:r>
        <w:rPr>
          <w:b/>
        </w:rPr>
        <w:t>E. 4.6</w:t>
      </w:r>
    </w:p>
    <w:p>
      <w:r>
        <w:t>En l'espèce, un hématome sur la cuisse a été constaté médicalement sur le recourant et est constitutif d'une lésion corporelles simple. Cela étant, les déclarations des parties, comme l'a retenu le Ministère public, sont contradictoires s'agissant du déroulement des faits qui en seraient à l'origine. En effet, si la prévenue a admis avoir ôté son pied de la pédale de frein, de sorte que sa voiture a "un peu avancé", elle a également indiqué avoir au préalable bloqué la portière du recourant – qui aurait pu se blesser en ouvrant la sienne – mais n'avoir, dans tous les cas pas noté que ce dernier se serait blessé dans ces circonstances. Partant, si l'existence d'un hématome est avérée, il n'en demeure pas moins qu'il ne peut être établi qu'il serait la conséquence d'un heurt avec le véhicule conduit par la prévenue, à l'exclusion de tout autre événement, de sorte qu'il ne peut être démontré à suffisance de droit que cette dernière serait l'auteur de l'infraction de lésions corporelles simples. Les éléments objectifs de l'infraction ne semblant pas réalisés, il ne peut être reproché au Ministère public d'avoir classé la procédure. La négligence doit également être écartée, puisqu'aucun élément du dossier ne permet de reprocher à la prévenue d'avoir manqué de la prudence requise et avoir commis une faute. Dans tous les cas, pour les mêmes raisons qui précèdent, faute d'un lien de causalité suffisant entre la blessure et le choc avec le véhicule de celle-ci, des lésions corporelles simples par négligence ne pouvaient être retenues.</w:t>
      </w:r>
    </w:p>
    <w:p>
      <w:r>
        <w:rPr>
          <w:b/>
        </w:rPr>
        <w:t>E. 4.7</w:t>
      </w:r>
    </w:p>
    <w:p>
      <w:r>
        <w:t>Le recourant reproche ensuite au Ministère public d'avoir classé sa plainte pour dénonciation calomnieuse, alors que c'était la prévenue qui l'avait bousculé en premier le 26 août 2019, comme l'avait confirmé le témoin. Elle avait, ce nonobstant, déposé plainte contre lui le 28 suivant. Or, les versions des parties s'accordent sur le fait qu'elles se sont mutuellement bousculées, ce qui a entraîné la chute de la prévenue,</w:t>
      </w:r>
    </w:p>
    <w:p>
      <w:r>
        <w:t>- 8/11 - P/17799/2019 sans que l'auteur des lésions ne puisse indubitablement être le recourant. Il ne peut dès lors être reproché à la prévenue, dont la chute n'est pas contestée, d'avoir intentionnellement et à tort dénoncé ces faits au Ministère public. La question de savoir si le dépôt du cochon d'Inde devant la porte de la prévenue afin que celle-ci s'en occupe constitue une infraction pénale peut demeurer ouverte, dans la mesure où le dossier ne permet pas d'établir la réalité de la dénonciation au service cantonal des affaires vétérinaires et, dans tous les cas, celui-ci n'étant pas une d'une autorité pénale au sens de l'art. 303 CP. Les autres dénonciations rapportées par le recourant ne sont quant à elles pas avérées, puisque les faits, contestés, ne ressortent d'aucune pièce au dossier. En effet, aucun rapport ou main courante ne fait état que la prévenue aurait mentionnée un "vol" et un "abandon" d'enfant à la police. Les éléments constitutifs de la dénonciation calomnieuse, soit notamment l'existence d'une communication aux autorités, ne sont pas établis.</w:t>
      </w:r>
    </w:p>
    <w:p>
      <w:r>
        <w:rPr>
          <w:b/>
        </w:rPr>
        <w:t>E. 4.8</w:t>
      </w:r>
    </w:p>
    <w:p>
      <w:r>
        <w:t>Enfin, comme l'a à juste titre retenu le Ministère public, aucune violation de domicile ne peut être retenue. La prévenue, sans être contredite, a expliqué avoir pénétré dans le logement du recourant à la demande de leur fils malade et de la nounou. Malgré leurs relations conflictuelles, elle pouvait s'estimer en droit de pénétrer dans l'appartement du recourant dans de telles circonstances, ce d'autant plus que ce dernier n'était pas disponible et n'avait pas été sollicité par l'enfant ni sa nounou. Le vol du disque dur ainsi que l'utilisation du mot de passe pour installer la connexion WIFI sur le téléphone de E______ ne sont eux non plus pas établis, le recourant alléguant lui- même dans sa plainte que son fils aurait pu le faire.</w:t>
      </w:r>
    </w:p>
    <w:p>
      <w:r>
        <w:t>- 9/11 - P/17799/2019</w:t>
      </w:r>
    </w:p>
    <w:p>
      <w:r>
        <w:rPr>
          <w:b/>
        </w:rPr>
        <w:t>E. 5</w:t>
      </w:r>
    </w:p>
    <w:p>
      <w:r>
        <w:t>Justifiée, l'ordonnance querellée sera donc confirmée et le recours rejeté.</w:t>
      </w:r>
    </w:p>
    <w:p>
      <w:r>
        <w:rPr>
          <w:b/>
        </w:rPr>
        <w:t>E. 6</w:t>
      </w:r>
    </w:p>
    <w:p>
      <w:r>
        <w:t>Le recourant, qui succombe, supportera les frais envers l'État, fixés en totalité à CHF 900.- (art. 428 al. 1 CPP et 13 al. 1 du Règlement fixant le tarif des frais en matière pénale, RTFMP ; E 4 10.03).</w:t>
      </w:r>
    </w:p>
    <w:p>
      <w:r>
        <w:rPr>
          <w:b/>
        </w:rPr>
        <w:t>E. 7</w:t>
      </w:r>
    </w:p>
    <w:p>
      <w:r>
        <w:t>Le recourant demande l'octroi de l'assistance juridique.</w:t>
      </w:r>
    </w:p>
    <w:p>
      <w:r>
        <w:rPr>
          <w:b/>
        </w:rPr>
        <w:t>E. 7.1</w:t>
      </w:r>
    </w:p>
    <w:p>
      <w:r>
        <w:t>À teneur de l'art. 136 al. 1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7.2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7.3</w:t>
      </w:r>
    </w:p>
    <w:p>
      <w:r>
        <w:t>En l'espèce, quand bien même le recourant serait indigent, force est de retenir que le recours était voué à l'échec pour les motifs exposés plus haut, de sorte que les conditions pour l'octroi de l'assistance judiciaire pour la procédure de recours ne sont pas remplies. Sa demande sera donc rejetée. * * * * *</w:t>
      </w:r>
    </w:p>
    <w:p>
      <w:r>
        <w:t>- 10/11 - P/17799/2019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