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ACPR/11/2017 vom 15. Juni 2016</w:t>
      </w:r>
    </w:p>
    <w:p>
      <w:r>
        <w:t>GE Cour de justice, 2016-06-15, FR</w:t>
      </w:r>
    </w:p>
    <w:p>
      <w:r>
        <w:rPr>
          <w:b/>
        </w:rPr>
        <w:t xml:space="preserve">Quelle: </w:t>
      </w:r>
      <w:r>
        <w:t>https://mcp.opencaselaw.ch/entscheid/ge_gerichte_ACPR_11_2017</w:t>
      </w:r>
    </w:p>
    <w:p>
      <w:r>
        <w:t>FR: GE_GERICHTE ACPR/11/2017 du 15 juin 2016</w:t>
      </w:r>
    </w:p>
    <w:p>
      <w:r>
        <w:t>IT: GE_GERICHTE ACPR/11/2017 del 15 giugno 2016</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Bien que la recourante ne précise pas, dans ses conclusions, contre qui une instruction pour gestion déloyale (sic) et blanchiment d'argent doit être ouverte, on comprend, à la lecture du recours – et C______ le confirme – que cette dernière est principalement visée, de même que ses dirigeants. Quoique minimalistes, les conclusions sont recevables.</w:t>
      </w:r>
    </w:p>
    <w:p>
      <w:r>
        <w:t>- 19/33 - P/5202/2012</w:t>
      </w:r>
    </w:p>
    <w:p>
      <w:r>
        <w:rPr>
          <w:b/>
        </w:rPr>
        <w:t>E. 1.3</w:t>
      </w:r>
    </w:p>
    <w:p>
      <w:r>
        <w:t>En cas de classement ou de décision de non-entrée en matière, la partie plaignante peut, dans le cadre d'un recours, proposer à nouveau des preuves susceptibles de démontrer la culpabilité du prévenu (A. KUHN / Y. JEANNERET (éds), op. cit., n. 19 ad art. 318). Que ces actes aient préalablement été refusés par le Ministère public ne rend pas la demande irrecevable.</w:t>
      </w:r>
    </w:p>
    <w:p>
      <w:r>
        <w:rPr>
          <w:b/>
        </w:rPr>
        <w:t>E. 1.4</w:t>
      </w:r>
    </w:p>
    <w:p>
      <w:r>
        <w:t>C______ conteste la qualité pour recourir de A______, cette dernière n'ayant, selon elle, pas la qualité de partie plaignante.</w:t>
      </w:r>
    </w:p>
    <w:p>
      <w:r>
        <w:rPr>
          <w:b/>
        </w:rPr>
        <w:t>E. 1.4.1</w:t>
      </w:r>
    </w:p>
    <w:p>
      <w:r>
        <w:t>Selon l'art. 382 al. 1 CPP, toute partie qui a un intérêt juridiquement protégé à l'annulation ou à la modification d'une décision a qualité pour recourir contre celle- ci. La partie plaignante a notamment la qualité de partie (art. 104 al. 1 let. b CPP). À teneur de l'art. 118 al. 1 CPP, seul peut se constituer partie plaignante le lésé qui déclare expressément vouloir participer à la procédure pénale comme demandeur au pénal ou au civil. L'art. 115 CPP précise qu'on entend par lésé toute personne dont les droits ont été touchés directement par une infraction (al. 1). La notion de lésé est donc essentielle en procédure pénale, puisque cette qualité est indispensable pour se constituer partie plaignante. Lorsque la norme protège un bien juridique individuel, la qualité de lésé appartient au titulaire de ce bien (ATF 138 IV 258 consid. 2.3 ; 129 IV 95 consid. 3.1 ; 126 IV 42 consid. 2a ; 117 Ia 135 consid. 2a ; A. KUHN / Y. JEANNERET (éds), Commentaire romand : Code de procédure pénale suisse, Bâle 2011, n. 6 et 8 ad art. 115). Il peut alors se constituer partie plaignante à la procédure (art. 104 al. 1 let. b et 118 CPP) ce qui, en principe, lui donne également la qualité pour recourir, ayant un intérêt juridiquement protégé à la modification ou à l'annulation de la décision querellée (art. 382 al. 1 CPP).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129 IV 95 consid. 3.1 et les références citées ; A. KUHN / Y. JEANNERET (éds), op. cit., n. 11 ad art. 115).</w:t>
      </w:r>
    </w:p>
    <w:p>
      <w:r>
        <w:rPr>
          <w:b/>
        </w:rPr>
        <w:t>E. 1.4.2</w:t>
      </w:r>
    </w:p>
    <w:p>
      <w:r>
        <w:t>L'art. 305bis CP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(ATF 129 IV 322 consid. 2.2.4. p. 325 ; arrêt du Tribunal fédéral 6b_549/2013 du 24 février 2014 consid. 2.2.3). La gestion déloyale (art. 158 CP) alléguée en l'espèce est au rang de ceux-ci.</w:t>
      </w:r>
    </w:p>
    <w:p>
      <w:r>
        <w:t>- 20/33 - P/5202/2012</w:t>
      </w:r>
    </w:p>
    <w:p>
      <w:r>
        <w:rPr>
          <w:b/>
        </w:rPr>
        <w:t>E. 1.4.3</w:t>
      </w:r>
    </w:p>
    <w:p>
      <w:r>
        <w:t>Lorsqu'une infraction contre le patrimoine – bien juridiquement protégé par les dispositions du Titre 2 du Code pénal – est réalisée à l'encontre d'une société anonyme, seule celle-ci subit un dommage et peut donc prétendre à la qualité de lésé. Tel n'est pas le cas de ses actionnaires ou de ses ayants droit économiques. Ainsi, lorsque la société tombe en faillite, la qualité de partie plaignante devrait lui échoir dans la mesure où elle a été lésée directement par les actes de son gérant (arrêts du Tribunal fédéral 1B_191/2014 du 14 août 2014 consid. 3.1. et les références citées, en particulier arrêt 6B_557/2010 du 9 mars 2011 consid. 7.2 ; 1B_294/2013 du 24 septembre 2013 consid. 2.1). La cession d'une créance au sens du droit civil n'entraîne pas la cession de la qualité de partie (L. MOREILLON / A. PAREIN- REYMOND, CPP, Code de procédure pénale, Bâle 2013, n. 11 ad art. 115).</w:t>
      </w:r>
    </w:p>
    <w:p>
      <w:r>
        <w:rPr>
          <w:b/>
        </w:rPr>
        <w:t>E. 1.4.4</w:t>
      </w:r>
    </w:p>
    <w:p>
      <w:r>
        <w:t>Le droit international privé suisse de la faillite repose sur le principe " assoupli " de la territorialité, cet " assouplissement " consistant dans le fait que les conditions d’une coopération entre Etats sont données par le biais de la reconnaissance du jugement de faillite selon l’art. 166 LDIP (ATF 137 III 570 c. 2 et les réf.). Pour le surplus, les actes de puissance publique de sujets de droit étrangers sont interdits en Suisse (F. WALTER, Paulianische Anfechtungsansprüche im internationalen Verhältnis - ausgewählte Probleme, in : Internationales Zivilprozess- und Verfahrensrecht V, 2005, pp. 79 ss, 96). Tombent dans cette catégorie les actes de poursuite (ATF 129 III 683 c. 5.3, p. 688 = JdT 2004 II 111) ainsi que les mesures de réalisation dans la faillite (ATF 106 III 79 c. 4, JdT 1982 II 44, relatif à la réalisation d’actifs par une vente de gré à gré). La reconnaissance en Suisse d’une décision de faillite étrangère selon l’art. 166 LDIP a, pour le patrimoine du débiteur sis en Suisse, les effets de la faillite tels que les prévoit le droit suisse, sauf dispositions contraires de la LDIP (art. 170 al. 1 LDIP). La procédure diligentée en Suisse est appelée faillite " ancillaire ", " mini-faillite " ou encore " faillite-LDIP " (ATF 137 III 631 consid. 2.3.2 = JdT 2012 II p. 451ss). L'administration de la faillite étrangère ne peut pas intervenir ni procéder à des actes d'exécution en Suisse (ATF 129 III 683, 109 III 83).</w:t>
      </w:r>
    </w:p>
    <w:p>
      <w:r>
        <w:rPr>
          <w:b/>
        </w:rPr>
        <w:t>E. 1.4.5</w:t>
      </w:r>
    </w:p>
    <w:p>
      <w:r>
        <w:t>Les créanciers cessionnaires d'une masse en faillite (art. 260 LP) agissent en vertu d'une forme de mandat procédural (Prozessführungsrecht), qui leur permet de faire valoir les droits de la masse, à leurs propres risques et périls ; la masse reste, toutefois, titulaire du droit matériel invoqué en justice. Il en découle qu'un créancier cessionnaire, ès qualité, ne peut pas se constituer partie plaignante dans la procédure pénale ; l'art. 260 LP ne constituant pas un cas de subrogation légale, le créancier cessionnaire ne peut pas non plus se prévaloir de l'art. 121 al. 2 CPP pour agir dans la procédure pénale (ATF 140 IV 155 consid. 3.4.5 ; ACPR/335/2014 du 14 juillet 2014).</w:t>
      </w:r>
    </w:p>
    <w:p>
      <w:r>
        <w:rPr>
          <w:b/>
        </w:rPr>
        <w:t>E. 1.4.6</w:t>
      </w:r>
    </w:p>
    <w:p>
      <w:r>
        <w:t>En l'espèce, l'administration de la faillite de A______, société lituanienne, a obtenu, en Suisse, la reconnaissance du jugement de faillite lituanien et l'ouverture d'une faillite ancillaire suisse, administrée par la FINMA (art. 33ss LB). Cette</w:t>
      </w:r>
    </w:p>
    <w:p>
      <w:r>
        <w:t>- 21/33 - P/5202/2012 dernière a cédé, selon l'art. 260 LP, à l'administrateur de la faillite étrangère, les droits que la masse de la faillite ancillaire a renoncé à faire valoir. Toutefois, cette cession ne pouvait pas inclure, au vu de la loi et de la jurisprudence sus-citée, la qualité de lésée de A______, au sens de l'art. 115 CPP, ni non plus sa qualité de partie plaignante au pénal, selon l'art. 118 al. 1 et 2 CPP. L'arrêt du Tribunal fédéral cité par l'intimée, qui se réfère aux conséquences d'une fusion et à l'art. 121 al. 2 CPP, n'est pas pertinent ici, cette dernière disposition n'entrant pas en considération, car A______ a conservé sa qualité de lésée. Qu'il y ait eu une cession des droits de la masse de la faillite ancillaire, en Suisse, ne pourrait concerner que les éventuelles prétentions civiles de A______ – que celle-ci semble évoquer dans son courrier du 11 juillet 2016. Mais, au stade du présent recours, il suffit que la plaignante, lésée, ait déclaré se constituer partie plaignante au pénal, et qu'elle ait conservé cette qualité nonobstant sa faillite à l'étranger et la faillite ancillaire en Suisse, ce qui vient d'être admis, pour qu'elle dispose, en cette qualité, du droit de recourir contre l'ordonnance de classement. Les infractions dénoncées par la recourante – gestion déloyale et blanchiment d'argent – pouvant être invoquées par celle-ci, à teneur de la jurisprudence susmentionnée, puisqu'elle a été directement lésée par les agissements reprochés, il y a lieu de lui reconnaître un intérêt à recourir. Les développements jurisprudentiels évoqués supra, relatifs à l'impossibilité pour une faillite étrangère d'accomplir des "actes juridiques" en Suisse sans l'accord de la faillite ancillaire suisse, ne sauraient s'étendre au dépôt d'une plainte pénale et, partant, à sa constitution en qualité de partie plaignante au pénal. Partant, la recourante dispose de la qualité pour recourir, au sens de l'art. 382 al. 1 CPP, et son recours est recevable.</w:t>
      </w:r>
    </w:p>
    <w:p>
      <w:r>
        <w:rPr>
          <w:b/>
        </w:rPr>
        <w:t>E. 2</w:t>
      </w:r>
    </w:p>
    <w:p>
      <w:r>
        <w:t>La recourante critique l'établissement des faits par le Ministère public, mais n'en tire aucun grief clair. Quoi qu'il en soit, la Chambre pénale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op. cit., Bâle 2013, n. 2 ad art. 39).</w:t>
      </w:r>
    </w:p>
    <w:p>
      <w:r>
        <w:rPr>
          <w:b/>
        </w:rPr>
        <w:t>E. 3</w:t>
      </w:r>
    </w:p>
    <w:p>
      <w:r>
        <w:t>Conformément à l'art. 319 al. 1 CPP, le Ministère public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w:t>
      </w:r>
    </w:p>
    <w:p>
      <w:r>
        <w:t>- 22/33 - P/5202/2012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Un soupçon, même insuffisant pour fonder un verdict de culpabilité suffit donc, s'il présente quelque solidité, à justifier la poursuite de l'enquête et exclure un classement fondé sur l'art. 319 al. 1 let. a CPP. De même, si les preuves réunies à ce stade de l'enquête ne permettent pas de retenir un fait qui correspond à un élément constitutif d'une infraction (art. 319 al. 1 let. b CPP), l'enquête doit se poursuivre pour élucider complètement la situation (A. KUHN / Y. JEANNERET (éds), Commentaire romand : Code de procédure pénale suisse, Bâle 2011, n. 5 ad art. 319).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rPr>
          <w:b/>
        </w:rPr>
        <w:t>E. 4</w:t>
      </w:r>
    </w:p>
    <w:p>
      <w:r>
        <w:t>La recourante reproche au Ministère public de ne pas avoir retenu l'existence d'une "gestion déloyale" de la part de C______ et ses responsables.</w:t>
      </w:r>
    </w:p>
    <w:p>
      <w:r>
        <w:rPr>
          <w:b/>
        </w:rPr>
        <w:t>E. 4.1</w:t>
      </w:r>
    </w:p>
    <w:p>
      <w:r>
        <w:t>L'art. 158 ch. 1 CP punit d'une peine privative de liberté de trois ans au plus ou d'une peine pécuniaire celui qui, en vertu de la loi, d'un mandat officiel ou d'un acte juridique, est tenu de gérer les intérêts pécuniaires d'autrui ou de veiller sur la gestion et qui, en violation de ses devoirs, aura porté atteinte à ces intérêts ou aura permis qu'ils soient lésés. Si l'auteur a agi dans le dessein de se procurer ou de procurer à un tiers un enrichissement illégitime, le juge pourra prononcer une peine privative de liberté de un à cinq ans (al. 3).</w:t>
      </w:r>
    </w:p>
    <w:p>
      <w:r>
        <w:t>- 23/33 - P/5202/2012 L'infraction de gestion déloyale au sens de l'art. 158 ch. 1 CP suppose la réunion de quatre éléments, à savoir un devoir de gestion ou de sauvegarde, la violation de ce devoir, un dommage et l'intention. L'intention doit porter sur tous les éléments constitutifs (ATF 129 IV 124 consid. 3.1 p. 125 ; 122 IV 279 consid. 2a p. 281 ; 121 IV 104 consid. 2c p. 107 ; 120 IV 190 consid. 2b p. 192 ss). Le dol éventuel suffit, mais il doit être caractérisé, vu l'imprécision des éléments constitutifs objectifs de cette infraction (ATF 123 IV 17 consid. e p. 23 ; 120 IV 190 consid. 2b p. 193). Il y a dol éventuel lorsque l'auteur envisage le résultat dommageable ou la réalisation de l'infraction et passe néanmoins à l'action, car il accepte le résultat au cas où il se produirait et s'en accommode, même s'il ne le souhaite pas.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(ATF 134 IV 26 consid. 3.2.2 et 3.2.3 p. 29; 125 IV 242 consid. 3c in fine p. 252).</w:t>
      </w:r>
    </w:p>
    <w:p>
      <w:r>
        <w:rPr>
          <w:b/>
        </w:rPr>
        <w:t>E. 4.2</w:t>
      </w:r>
    </w:p>
    <w:p>
      <w:r>
        <w:t>Agit comme complice celui qui prête intentionnellement assistance à l'auteur pour commettre un crime ou un délit (cf. art. 25 CP).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(ATF 132 IV 49 consid. 1.1 p. 51 s.; 121 IV 109 consid. 3a p. 119 s.). Subjectivement, le complice doit avoir agi intentionnellement, mais le dol éventuel suffit (ATF 132 IV 49 consid. 1.1 p. 52).</w:t>
      </w:r>
    </w:p>
    <w:p>
      <w:r>
        <w:rPr>
          <w:b/>
        </w:rPr>
        <w:t>E. 4.3</w:t>
      </w:r>
    </w:p>
    <w:p>
      <w:r>
        <w:t>En l'espèce, bien que les conclusions du recours prêtent à confusion, on comprend à la lecture de son acte de recours, que la recourante entendait conclure à une complicité de gestion déloyale de la part de C______ et/ou de ses organes.</w:t>
      </w:r>
    </w:p>
    <w:p>
      <w:r>
        <w:t>- 24/33 - P/5202/2012 In casu, il n'est pas contesté que des dirigeants de la recourante ont commis, en Lituanie, des actes susceptibles d'être qualifiés, en droit suisse, de gestion déloyale et que ces actes ont été à l'origine d'un important préjudice pour celle-ci. Toutefois, l'éventuel acte de participation secondaire du complice ou de l'instigateur, commis en Suisse, à une infraction commise à l'étranger, ne relève pas de la compétence territoriale suisse, en vertu du principe selon lequel l'accessoire suit le principal (ATF 108 Ib 301 consid. 5 et 104 IV 77 consid. 7b; arrêt du Tribunal fédéral 6B_597/2015 du 18 avril 2016 consid. 1.2.2). Cela scelle, d'emblée, le sort du premier grief. Quoi qu'il en soit, rien dans la procédure ne permet de retenir que l'intimée, ou l'un de ses responsables, aurait, même par dol éventuel, voulu prêter assistance aux actes de gestion déloyale commis, en Lituanie, au préjudice de la recourante. D'ailleurs, cette dernière explique elle-même que E______ et F______ avaient dissimulé, par une double manipulation de comptabilité, leurs opérations frauduleuses, de telle sorte que ni ses contrôleurs internes ni ses réviseurs et autorités de surveillance ne s'étaient rendu compte de ces manœuvres. On ne voit pas comment la banque suisse aurait pu en avoir connaissance et la recourante ne le soutient d'ailleurs pas. La recourante tente en réalité de construire une complicité de gestion déloyale au motif que, C______ ayant clôturé, en 2008, le compte ouvert un an auparavant au nom de A______, au motif qu'elle avait considéré comme inhabituelle, voire insuffisamment transparente, la structure mise en place par E______, elle aurait dû se rendre compte, d'une part, que ce dernier, par la mise en place d'une seconde structure à son nom, entre 2009 et 2011, avait forcément une intention délictuelle, et, d'autre part, qu'en acceptant, sur le nouveau compte ouvert par ce dernier des fonds ou titres provenant, selon certains transferts SWIFT, de comptes de A______, elle prêtait la main à une gestion déloyale. Or, en 2008, aucune infraction pénale n'avait été commise, en Suisse, ce que la recourante n'allègue d'ailleurs pas. Comme l'ont expliqué les divers responsables de C______, et tel que cela ressort des éléments au dossier, la relation n. 2______au nom de A______ a été clôturée, et le crédit remboursé, car l'opération consistant, pour la banque suisse, à accorder un prêt à la relation ouverte au nom de la banque lituanienne, alors que les fonds prêtés bénéficiaient finalement à une relation – T______ – dont l'ayant droit économique était en réalité E______, était inhabituelle. C______ a toutefois immédiatement informé les intéressés du problème que constituait pour elle cette opération, a rencontré E______ et effectué des vérifications auprès des organes de A______, en Lituanie. Elle a même requis que les auditeurs externes confirment que T______ apparaissait dans les comptes de A______, afin de s'assurer que celle-ci acceptait l'opération ainsi créée, ce qui ne lui a pas été</w:t>
      </w:r>
    </w:p>
    <w:p>
      <w:r>
        <w:t>- 25/33 - P/5202/2012 confirmé, de sorte qu'elle a demandé le remboursement des crédits et a clôturé la relation. Toutefois, C______ ayant pensé, même sans en comprendre les raisons, que A______ préférait prêter de l'argent à son client, E______, en passant par elle plutôt que directement, le fait que la précitée ne souhaitait pas que des personnes externes à la banque, fussent-elles auditrices, en soient informées, pouvait la conforter dans l'idée qu'il existait des motifs cohérents à cela, par exemple fiscaux. A l'issue de ces démarches, les responsables de C______ sont parvenus à la conviction que l'ayant droit économique de la relation n. 2______n'était pas la banque lituanienne mais son actionnaire majoritaire, ce que ce dernier a confirmé en signant le formulaire A. Au vu de l'estimation de sa fortune à l'époque, cette déclaration pouvait paraître plausible. Or, contrairement à ce que la recourante veut faire accroire, C______ n'a nullement, à ce moment-là, transformé le compte de A______ en un compte de E______. Elle a, bien au contraire, informé les intéressés que cette structure ne lui convenait pas, a obtenu le remboursement du crédit et clôturé la relation. Au vu des explications reçues et du remboursement du crédit, C______ n'avait pas à suspecter, de E______, la commission ni même la tentative d'une infraction. Et l'on ne peut, au vu des démarches qu'elle a accomplies, rien lui reprocher. Lorsque, par la suite, E______, après avoir ouvert un compte à son propre nom, dont il était l'ayant droit économique, a demandé un prêt, garanti par des liquidités et des titres figurant sur ce compte, et que les montants prêtés par C______ ont été transférés sur un compte – AB______ –, dont il était également l'ayant droit économique, la configuration était tout autre, puisque l'emprunteur et le bénéficiaire étaient une seule et même personne. Cette structure correspondait aux critères de transparence et, comme le relève le Ministère public, le fait que ce montage devait permettre au client, avec la gestion de fortune et les titres, d'obtenir une performance plus élevée que le coût du crédit en termes d'intérêts, n'avait rien d'insolite pour la banque, qui le pratiquait par ailleurs. Dans la mesure où les faits de 2008 ne laissaient apparaître aucune tentative d'infraction pénale, C______ n'avait pas à se méfier de cette nouvelle mise en place. Dans ce contexte, on ne saurait retenir que les employés de C______ auraient, à un moment ou à un autre, accepté de prêter la main à une gestion déloyale commise par E______ et F______, ni même envisagé cette possibilité. En particulier, le fait d'avoir accepté que des transferts de fonds ou titres provenant de comptes au nom de A______ auprès de la U______ à Z______ et AC______ à AD______ arrivent sur le compte de E______, puis servent de garantie au crédit accordé à ce dernier, ne permet pas d'admettre, avec une vraisemblance suffisante, que le ou les employés concernés auprès de C______, même B______ (cf. consid. 4.4. infra), aurai(en)t été conscient(s) de la possibilité de participer à une telle infraction ou de la favoriser. Comme il a été retenu ci-dessus, des rencontres avaient eu lieu, en 2007 et 2008, au sein même de A______, entre les dirigeants et divers services de celle-ci, d'une part, et des représentants de C______, d'autre part. Des investigations menées par</w:t>
      </w:r>
    </w:p>
    <w:p>
      <w:r>
        <w:t>- 26/33 - P/5202/2012 C______, ses responsables avaient acquis la conviction que la banque lituanienne était solide et aucun indice ne prouvait le contraire, avant la faillite de celle-ci. Ainsi, même si la réception de titres, en mai 2010 et juin 2011, en faveur du compte de E______, provenant de comptes dont il ne ressortait pas des messages SWIFT qu'ils appartenaient à A______, a amené le service de compliance à interroger le chargé de clientèle, on ne saurait, au vu de toutes les vérifications qui avaient été faites par ailleurs, retenir que C______ ou ses employés acceptaient de participer à une infraction de gestion déloyale commise par des dirigeants de A______. Compte tenu des actes d'instruction déjà menés, la ré-audition du témoin AG______ et la production des documents requis, pas plus que les actes d'instruction sollicités par le prévenu, ne seraient de nature à modifier les constatations qui précèdent. L'ordonnance de classement est dès lors justifiée sur ce point.</w:t>
      </w:r>
    </w:p>
    <w:p>
      <w:r>
        <w:rPr>
          <w:b/>
        </w:rPr>
        <w:t>E. 5</w:t>
      </w:r>
    </w:p>
    <w:p>
      <w:r>
        <w:t>La recourante reproche au Ministère public de ne pas avoir retenu que des actes de blanchiment d'argent pouvaient être reprochés à C______ ou à "ses responsables".</w:t>
      </w:r>
    </w:p>
    <w:p>
      <w:r>
        <w:rPr>
          <w:b/>
        </w:rPr>
        <w:t>E. 5.1</w:t>
      </w:r>
    </w:p>
    <w:p>
      <w:r>
        <w:t>Se rend coupable de blanchiment d'argent celui qui a commis un acte propre à entraver l'identification de l'origine, la découverte ou la confiscation de valeurs patrimoniales dont il savait ou devait présumer qu'elles provenaient d'un crime (art. 305bis ch. 1 CP, dans sa teneur avant le 1er janvier 2016).</w:t>
      </w:r>
    </w:p>
    <w:p>
      <w:r>
        <w:t>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 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(ATF 136 IV 188</w:t>
      </w:r>
    </w:p>
    <w:p>
      <w:r>
        <w:t>- 27/33 - P/5202/2012 consid. 6.1 p. 191 et références citées). Sont en particulier considérés comme des actes de blanchiment le transfert de fonds de provenance criminelle d'un pays à un autre (ATF 136 IV 188 consid. 6.1 p. 191) ou d'un compte à un autre dont les bénéficiaires économiques ne sont pas identiques (cf. B. CORBOZ, Les infractions en droit suisse, vol. II, 3e éd., Berne 2010, n. 25 ad art. 305bis CP; S. TRECHSEL / M. PIETH (éd.), Schweizerisches Strafgesetzbuch : Praxiskommentar, 2e éd., Zurich 2012, n. 18 ad art. 305bis CP).</w:t>
      </w:r>
    </w:p>
    <w:p>
      <w:r>
        <w:rPr>
          <w:b/>
        </w:rPr>
        <w:t>E. 5.2</w:t>
      </w:r>
    </w:p>
    <w:p>
      <w:r>
        <w:t>Le blanchiment est aussi punissable lorsque l'infraction principale a été commise à l'étranger (305bis CP ch. 3 CP). Dans ce cas, le crime préalable doit être punissable dans l'Etat où il a été commis et s'avérer un crime selon la définition légale du droit suisse (ATF 136 IV 179 consid. 2.3.4 p. 187).</w:t>
      </w:r>
    </w:p>
    <w:p>
      <w:r>
        <w:rPr>
          <w:b/>
        </w:rPr>
        <w:t>E. 5.3</w:t>
      </w:r>
    </w:p>
    <w:p>
      <w:r>
        <w:t>Sur le plan subjectif, l'infraction pénale de blanchiment d'argent prévue par la disposition susmentionnée nécessite l'intention de l'auteur, le dol éventuel étant suffisant (ATF 133 III 323 consid. 5.2 p. 330). Il n'est pas nécessaire que l'auteur connaisse la nature concrète de l'infraction, il suffit qu'il ait connaissance de circonstances qui font naître le soupçon pressant de faits constituant légalement un crime et qu'il s'accommode de l'éventualité que ces faits se soient produits (ATF 119 IV 242 consid. 2 b p. 247 ; sur les principes relatifs au dol éventuel en général, cf. consid. 4.1. supra). En pratique, les auteurs du crime, pour se soustraire à la poursuite pénale, ne voudront rien dire au blanchisseur quant à l'origine des valeurs patrimoniales et celui-ci, pour se protéger également d'une poursuite pénale, ne souhaite normalement rien savoir et, généralement, essaiera de soutenir dans la procédure pénale qu'il était convaincu que les fonds suspects provenaient, par exemple, d'une soustraction d'impôt, en aucun cas d'un crime. Pour pallier des difficultés de preuve, la jurisprudence et la doctrine semblent prêtes à admettre de manière assez large l'existence d'un dol éventuel. Il suffit que le blanchisseur accepte l'idée que la valeur patrimoniale provient d'une infraction sévèrement réprimée, même s'il ne sait pas en quoi elle consiste (B. CORBOZ, op. cit., n. 42 ad art. 305 bis et les référence citées). Le juge doit se fonder sur des éléments objectifs pour conclure à l’existence du dol éventuel. Il peut s’agir de la gravité de la violation du devoir de diligence, qui peut se concrétiser par l’absence de toute demande d’explication et de documentation en présence de valeurs patrimoniales importantes. Il peut également s’agir d’autres circonstances particulières dans le rapport entretenu avec le client, notamment des exigences de discrétion accrues de ce dernier sans explications vraisemblables ou d’autres circonstances particulières relatives aux transactions effectuées avec ces valeurs ou à la qualité des intervenants. Le dol éventuel peut être retenu également en appréciant ce que la personne suspectée de blanchiment connaissait de la situation financière de son interlocuteur qui lui a confié des fonds. Pour pouvoir déduire de ces éléments le dol éventuel, il faut tenir compte de la formation de la personne suspectée de blanchiment, de ses compétences et de ses connaissances</w:t>
      </w:r>
    </w:p>
    <w:p>
      <w:r>
        <w:t>- 28/33 - P/5202/2012 (C. LOMBARDINI, Banques et blanchiment d'argent, Genève, 2016, n. 376 et les références citées).</w:t>
      </w:r>
    </w:p>
    <w:p>
      <w:r>
        <w:rPr>
          <w:b/>
        </w:rPr>
        <w:t>E. 5.4</w:t>
      </w:r>
    </w:p>
    <w:p>
      <w:r>
        <w:t>A teneur de l'art. 102 al. 2 CP, en cas d'infraction prévue à l'art. 305bis CP, l'entreprise est punie indépendamment de la punissabilité des personnes physiques s'il doit lui être reproché de ne pas avoir pris toutes les mesures d'organisation raisonnables et nécessaires pour empêcher une telle infraction. La responsabilité pénale d’une banque pour violation de l’article 305bis CP (art. 102 al. 2 CP) peut être engagée directement aux côtés de la responsabilité éventuelle de personnes physiques ayant agi au sein de l’établissement. La responsabilité de la banque n’est pas subsidiaire. Elle peut être engagée, même si aucune personne physique n’est identifiée comme étant responsable d’actes de blanchiment. Peu importe que la personne ayant perpétré l’infraction ne soit pas un organe de l’entreprise. La banque comme entreprise pourra être tenue pour responsable de blanchiment d’argent, si elle n’a pas pris toutes les mesures raisonnables et nécessaires pour empêcher la commission de l’infraction. Au nombre de ces mesures comptent l’existence de règles d’organisation internes appropriées ou le fait de s’assurer que les personnes chargées d’appliquer la réglementation disposent des compétences nécessaires. C’est le défaut d’organisation de l’entreprise qui justifie sa punissabilité : la négligence de l’entreprise dans son organisation a permis la perpétration d’un acte de blanchiment. La banque aurait pu empêcher la commission de l’infraction si elle avait respecté ses obligations (p. 104, n. 412ss) (C. LOMBARDINI, op. cit., p. 70, n. 279 et p. 104, n. 412ss). Ce manque d’organisation n’est pas présumé du simple fait qu’une infraction a été commise ; il n’y a pas de renversement du fardeau de la preuve (U. CASSANI, Responsabilité(s) pénale(s) dans l’entreprise, in Journée de la responsabilité civile 2014, p. 119).</w:t>
      </w:r>
    </w:p>
    <w:p>
      <w:r>
        <w:rPr>
          <w:b/>
        </w:rPr>
        <w:t>E. 5.5</w:t>
      </w:r>
    </w:p>
    <w:p>
      <w:r>
        <w:t>En l'espèce, il est constant que des actes pouvant à tout le moins être qualifiés de gestion déloyale dans le dessein de procurer un enrichissement illégitime (art. 158 ch. 1 al. 3 CP), c'est-à-dire un crime au sens de l'art. 10 CP, ont été commis au sein de la recourante par ses organes, en Lituanie, ce que tant C______ que ses collaborateurs ignoraient. Dans son acte d'accusation contre B______, le Ministère public a retenu que C______ avait "servi à dissimuler le vol des actifs" de la recourante, de sorte qu'il est également constant que la structure mise en place au sein de C______, en faveur de E______, voire de F______, a été de fait propre à entraver la découverte ou la confiscation de valeurs patrimoniales provenant des actes délictueux précités. Reste à déterminer si l'on peut retenir, à l'égard de C______ ou de ses collaborateurs, qu'ils avaient connaissance de circonstances faisant naître le soupçon pressant d'une gestion déloyale aggravée et qu'ils s'en seraient accommodés au moment où ils effectuaient les actes qui ont servi à dissimuler le vol des actifs.</w:t>
      </w:r>
    </w:p>
    <w:p>
      <w:r>
        <w:t>- 29/33 - P/5202/2012</w:t>
      </w:r>
    </w:p>
    <w:p>
      <w:r>
        <w:rPr>
          <w:b/>
        </w:rPr>
        <w:t>E. 5.5.1</w:t>
      </w:r>
    </w:p>
    <w:p>
      <w:r>
        <w:t>Dans la mesure où le Ministère public a retenu contre B______ une prévention suffisante de faux dans les titres s'agissant de cinq attestations qu'il aurait signées pour permettre à E______ et ses complices de sortir de A______ des titres appartenant à cette dernière et se procurer ou de procurer au client un enrichissement illégitime, une prévention suffisante d'infraction à l'art. 305bis CP doit également être retenue à son encontre, au vu de la définition du dol éventuel sus-rappelée. En effet, le comportement du prévenu visant à convaincre C______ de porter au crédit du compte de E______ des titres ou liquidités qui provenaient, à teneur de certains messages SWIFT, qui lui avaient été soumis, de comptes appartenant à A______ et d'apposer – selon l'acte d'accusation – sa signature sur des attestations constatant des faits qu'il savait erronés (soit la détention de titre par A______ alors qu'ils étaient déposés sur le compte de E______) ou incomplets (soit sans la mention du droit de gage de C______ sur ces avoirs), permet de retenir, en l'état, un soupçon suffisant qu'il s'est accommodé de l'hypothèse que ces sommes étaient détournées par suite d'un acte criminel et qu'il entravait ainsi leur découverte ou leur confiscation. A ce stade, il n'appartient pas à la Chambre de céans de déterminer si le prévenu considérait à juste titre ou non que A______ fonctionnait comme un "office family" de E______, question qu'il appartiendra au juge du fond d'examiner. En l'état, le renvoi en jugement du précité pour blanchiment d'argent, en sus de faux dans les titres, se justifie. Partant, le recours est fondé sur ce point.</w:t>
      </w:r>
    </w:p>
    <w:p>
      <w:r>
        <w:rPr>
          <w:b/>
        </w:rPr>
        <w:t>E. 5.5.2</w:t>
      </w:r>
    </w:p>
    <w:p>
      <w:r>
        <w:t>Tel n'est en revanche pas le cas en tant que le recours vise d'autres employés de C______ et/ou celle-ci. L'on ne saurait considérer, au terme de l'instruction, que l'un ou l'autre des employés ou organes des trois banques mises en cause aurait, à un moment ou à un autre, eu l'intention, serait-ce sous forme de dol éventuel, de commettre ou de prêter main forte à un blanchiment. La recourante a pris le parti de rester vague en ne désignant personne, de sorte qu'il n'est pas possible de déterminer mieux qu'elle, quel autre employé aurait commis l'infraction visée. C______ a, quant à elle, démontré avoir mis en place une organisation suffisante pour empêcher la commission d'un blanchiment d'argent par l'un de ses employés. Lors de la première phase, en 2007-2008, elle a promptement réagi lorsqu'elle s'est rendu compte que la structure était inhabituelle et a procédé à des recherches complètes. Lors de la seconde étape, et comme cela a été retenu au considérant précédent, la structure répondait à ses critères de transparence. Les faits reprochés ci- dessus au prévenu ne sont pas, à eux seuls, suffisants à imputer à la banque un défaut d'organisation. La recourante, qui s'en prend, à longueur de recours, à "C______ et ses responsables", n'examine ni ne critique à aucun moment l'organisation de celle- ci, sauf à dire qu'elle aurait dû se rendre compte, après avoir mis un terme à la première structure mise en place par E______, que ce dernier et ses complices tentaient à nouveau de commettre des infractions pénales, grief qui a toutefois été écarté ci-dessus.</w:t>
      </w:r>
    </w:p>
    <w:p>
      <w:r>
        <w:t>- 30/33 - P/5202/2012 Les actes d'instruction auxquels la recourante fait allusion – sans les requérir – à savoir la ré-audition du témoin AG______, le dépôt de pièces bancaires internes et les actes requis par le prévenu ne sont, ici non plus, pas de nature à infirmer, au vu des faits établis par l'instruction, ce qui précède. Le recours sera dès lors rejeté sur ce point.</w:t>
      </w:r>
    </w:p>
    <w:p>
      <w:r>
        <w:rPr>
          <w:b/>
        </w:rPr>
        <w:t>E. 6</w:t>
      </w:r>
    </w:p>
    <w:p>
      <w:r>
        <w:t>Partiellement fondé, le recours sera partiellement admis. Partant, l'ordonnance querellée sera annulée en tant qu'elle a classé la procédure contre inconnu pour l'infraction de blanchiment (art. 305bis CP) et la cause renvoyée au Ministère public afin qu'il renvoie B______ en jugement pour cette infraction aussi (art. 397 al. 3 CPP).</w:t>
      </w:r>
    </w:p>
    <w:p>
      <w:r>
        <w:rPr>
          <w:b/>
        </w:rPr>
        <w:t>E. 7</w:t>
      </w:r>
    </w:p>
    <w:p>
      <w:r>
        <w:t>Le recours n'ayant été admis que partiellement, la recourante, qui succombe sur une partie non négligeable, supportera les deux tiers des frais de la procédure de recours, qui comprendront un émolument de CHF 3'000.- (art. 428 al. 1 CPP et 13 al. 1 du Règlement fixant le tarif des frais en matière pénale, RTFMP ; E 4 10.03), l'autre tiers étant laissé à la charge de l'Etat.</w:t>
      </w:r>
    </w:p>
    <w:p>
      <w:r>
        <w:rPr>
          <w:b/>
        </w:rPr>
        <w:t>E. 8.1</w:t>
      </w:r>
    </w:p>
    <w:p>
      <w:r>
        <w:t>La recourante ayant conclu à l'octroi de "dépens" sans les chiffrer ni les documenter, il ne sera pas entré en matière sur la demande (art. 433 al. 2 CPP).</w:t>
      </w:r>
    </w:p>
    <w:p>
      <w:r>
        <w:rPr>
          <w:b/>
        </w:rPr>
        <w:t>E. 8.2</w:t>
      </w:r>
    </w:p>
    <w:p>
      <w:r>
        <w:t>Les autres parties ayant succombé, elles n'ont pas droit à une indemnité pour leur frais. * * * * *</w:t>
      </w:r>
    </w:p>
    <w:p>
      <w:r>
        <w:t>- 31/33 - P/5202/2012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