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ACPR/119/2020 vom 20. Januar 2020</w:t>
      </w:r>
    </w:p>
    <w:p>
      <w:r>
        <w:t>GE Cour de justice, 2020-01-20, FR</w:t>
      </w:r>
    </w:p>
    <w:p>
      <w:r>
        <w:rPr>
          <w:b/>
        </w:rPr>
        <w:t xml:space="preserve">Quelle: </w:t>
      </w:r>
      <w:r>
        <w:t>https://mcp.opencaselaw.ch/entscheid/ge_gerichte_ACPR_119_2020</w:t>
      </w:r>
    </w:p>
    <w:p>
      <w:r>
        <w:t>FR: GE_GERICHTE ACPR/119/2020 du 20 janvier 2020</w:t>
      </w:r>
    </w:p>
    <w:p>
      <w:r>
        <w:t>IT: GE_GERICHTE ACPR/119/2020 del 20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Il n'est pas contesté, ni contestable, que les charges sont en l'espèce suffisantes et graves, au sens de l'art. 221 al. 1 première phrase CPP. L'instruction suit son cours.</w:t>
      </w:r>
    </w:p>
    <w:p>
      <w:r>
        <w:rPr>
          <w:b/>
        </w:rPr>
        <w:t>E. 3</w:t>
      </w:r>
    </w:p>
    <w:p>
      <w:r>
        <w:t>Le recourant conteste, ou à tout le moins minimise, le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recourant est soupçonné, dans la présente procédure, de s'être adonné à un trafic de cocaïne durant plusieurs années. Il ne conteste pas la prévention, estimant seulement avoir agi pour son propre compte, et non dans le cadre d'un réseau hiérarchisé. Cette nuance ne joue toutefois aucun rôle ici. Seul compte le fait qu'il a déjà été condamné à deux reprises pour délit à la LStup, en février 2010 et en juin 2018. Lors de cette dernière condamnation, il a été soumis à une règle de conduite sous la forme d'un suivi thérapeutique et à une assistance de probation. Loin de prendre ses responsabilités et modifier son comportement, il a</w:t>
      </w:r>
    </w:p>
    <w:p>
      <w:r>
        <w:t>- 6/9 - P/14383/2019 mené le trafic de cocaïne dont il est actuellement prévenu et qui lui a valu d'être interpellé le 25 juillet 2019. La déclaration de son épouse à teneur de laquelle, désormais abstinent, il aurait réalisé une prise de conscience et envisagerait, à sa sortie, de fonder son propre foyer et de passer un CFC est insuffisante à fonder un pronostic favorable, compte tenu des précédentes condamnations et que les faits qui lui sont reprochés ont été commis malgré qu'il était marié, entouré de sa famille et, pour les derniers temps, au bénéfice d'un emploi stable. Il existe donc un important risque de réitération.</w:t>
      </w:r>
    </w:p>
    <w:p>
      <w:r>
        <w:rPr>
          <w:b/>
        </w:rPr>
        <w:t>E. 4</w:t>
      </w:r>
    </w:p>
    <w:p>
      <w:r>
        <w:t>Au vu de ce qui précède, point n'est besoin d'examiner si le recourant présente également des risques de fuite et collusion, l'autorité de recours pouvant se dispenser d'examiner les autres risques – alternatifs – lorsqu'un des risques prévus à l'art. 221 al. 1 CP est réalisé (arrêt du Tribunal fédéral 1B_322/2019 du 17 juillet 2019 consid. 3.3 et la jurisprudence citée).</w:t>
      </w:r>
    </w:p>
    <w:p>
      <w:r>
        <w:rPr>
          <w:b/>
        </w:rPr>
        <w:t>E. 5</w:t>
      </w:r>
    </w:p>
    <w:p>
      <w:r>
        <w:t>Le recourant reproche au TMC de ne pas avoir retenu que des mesures de substitution étaient aptes à pallier le risque de réitération.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5.2</w:t>
      </w:r>
    </w:p>
    <w:p>
      <w:r>
        <w:t>En l'espèce, le recourant propose, pour pallier le risque précité, un suivi thérapeutique en addictologie, une obligation d'abstinence aux produits stupéfiants couplé à des contrôles réguliers, ainsi que l'obligation de travailler dans l'entreprise qui s'est déclarée prête à l'engager. Or, le recourant a bénéficié, en juin 2018, d'une règle de conduite sous la forme d'un suivi thérapeutique et d'une assistance de probation dans le cadre d'une condamnation pour un nouveau délit contre la LStup. Malgré ces mesures, il a récidivé, commettant les faits qui lui sont reprochés dans la présente procédure – et qu'il reconnaît en substance. Ainsi, au moment de son interpellation, non seulement il était soumis à une obligation de suivi thérapeutique, mais il travaillait et percevait un salaire mensuel de plus de CHF 4'000.-. On ne voit</w:t>
      </w:r>
    </w:p>
    <w:p>
      <w:r>
        <w:t>- 7/9 - P/14383/2019 dès lors pas en quoi les mesures de substitution qu'il propose seraient, aujourd'hui plus qu'hier, de nature à l'empêcher de récidiver, puisqu'elles sont de même nature que celles en vigueur alors. La prise de conscience qu'il allègue, après six mois de détention provisoire, et son abstinence forcée – qu'il promet de maintenir – ne sont, à elles seules, pas suffisantes, au vu de l'absence, dans son parcours récent, de tout élément permettant de retenir un pronostic favorable. Force est dès lors de constater qu'aucune mesure n'est apte à pallier le risque important de réitération. 6. Compte tenu de la peine concrètement encourue si le recourant devait être reconnu coupable des infractions dont il est soupçonné, la détention provisoire, ordonnée jusqu'au 20 avril 2020, respecte le principe de la proportionnalité (art. 197 al. 1 et 212 al. 3 CPP).</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 * * * * *</w:t>
      </w:r>
    </w:p>
    <w:p>
      <w:r>
        <w:t>- 8/9 - P/14383/2019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