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ACPR/117/2024 vom 4. August 2023</w:t>
      </w:r>
    </w:p>
    <w:p>
      <w:r>
        <w:t>GE Cour de justice, 2023-08-04, FR</w:t>
      </w:r>
    </w:p>
    <w:p>
      <w:r>
        <w:rPr>
          <w:b/>
        </w:rPr>
        <w:t xml:space="preserve">Quelle: </w:t>
      </w:r>
      <w:r>
        <w:t>https://mcp.opencaselaw.ch/entscheid/ge_gerichte_ACPR_117_2024</w:t>
      </w:r>
    </w:p>
    <w:p>
      <w:r>
        <w:t>FR: GE_GERICHTE ACPR/117/2024 du 4 août 2023</w:t>
      </w:r>
    </w:p>
    <w:p>
      <w:r>
        <w:t>IT: GE_GERICHTE ACPR/117/2024 del 4 agosto 2023</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t>- 8/13 - P/1701/2023</w:t>
      </w:r>
    </w:p>
    <w:p>
      <w:r>
        <w:rPr>
          <w:b/>
        </w:rPr>
        <w:t>E. 2</w:t>
      </w:r>
    </w:p>
    <w:p>
      <w:r>
        <w:t>À titre liminaire, la Chambre de céans constate que la recourante ne remet pas en cause l'ordonnance de non-entrée en matière en tant qu'elle concerne les infractions de diffamation, calomnie, tentative de contrainte et menaces reprochées à B______. Ces points n'apparaissant plus litigieux, ils ne seront pas examinés plus avant dans le présent arrêt (art. 385 al. 1 let. a CPP).</w:t>
      </w:r>
    </w:p>
    <w:p>
      <w:r>
        <w:rPr>
          <w:b/>
        </w:rPr>
        <w:t>E. 3.1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 arrêt du Tribunal fédéral 6B_196/2020 du 14 octobre 2020 consid. 3.1). Dans le doute, lorsque les conditions d'une non-entrée en matière ne sont pas réalisées avec une certitude absolue, l'instruction doit être ouverte (arrêt 6B_196/2020 précité ; ATF 143 IV 241 consid. 2.2.1 ; ATF 138 IV 86 consid. 4.1).</w:t>
      </w:r>
    </w:p>
    <w:p>
      <w:r>
        <w:rPr>
          <w:b/>
        </w:rPr>
        <w:t>E. 3.2</w:t>
      </w:r>
    </w:p>
    <w:p>
      <w:r>
        <w:t>Une non-entrée en matière doit également être prononcée lorsqu'il peut être renoncé à toute poursuite ou à toute sanction en vertu de dispositions légales (art. 310 al. 1 let. c cum 8 al. 1 CPP). Tel est notamment le cas si la culpabilité de l'auteur et les conséquences de son acte sont peu importantes (art. 52 CP).</w:t>
      </w:r>
    </w:p>
    <w:p>
      <w:r>
        <w:rPr>
          <w:b/>
        </w:rPr>
        <w:t>E. 3.3</w:t>
      </w:r>
    </w:p>
    <w:p>
      <w:r>
        <w:t>Se rend coupable d'abus de confiance quiconque, pour se procurer ou procurer à un tiers un enrichissement illégitime, s’approprie une chose mobilière appartenant à autrui et qui lui a été confiée (art. 138 ch. 1 al. 1 CP), ou emploie à son profit ou au profit d’un tiers des valeurs patrimoniales qui lui ont été confiées (art. 138 ch. 1 al. 2 CP).</w:t>
      </w:r>
    </w:p>
    <w:p>
      <w:r>
        <w:t>- 9/13 - P/1701/2023 Une chose est confiée au sens de cette disposition lorsqu'elle est remise ou laissée à l'auteur pour qu'il l'utilise de manière déterminée dans l'intérêt d'autrui, en particulier pour la garder, l'administrer, la livrer ou la vendre selon des instructions qui peuvent être expresses ou tacites (ATF 120 IV 117 consid. 2b p. 115; 118 IV 32 consid. 2a p. 33). D'un point de vue subjectif, l'auteur doit avoir agi intentionnellement et dans un dessein d'enrichissement illégitime, lequel peut être réalisé par dol éventuel (ATF 118 IV 32 consid. 2a p. 34).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(ATF 118 IV 27 consid. 3a p. 29 s. ; arrêt du Tribunal fédéral 6B_1268/2018 précité consid. 2.2).</w:t>
      </w:r>
    </w:p>
    <w:p>
      <w:r>
        <w:rPr>
          <w:b/>
        </w:rPr>
        <w:t>E. 3.4</w:t>
      </w:r>
    </w:p>
    <w:p>
      <w:r>
        <w:t>Se rend coupable d'injure quiconque qui aura, par la parole, l'écriture, l'image, le geste ou par des voies de fait, attaqué autrui dans son honneur (art. 177 al. 1 CP).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(arrêts du Tribunal fédéral 6B_1149/2019 du 15 janvier 2020 consid. 5.1 ; 6B_557/2013 du 12 septembre 2013, consid. 1.1 et les références citées, publié in SJ 2014 I 293).</w:t>
      </w:r>
    </w:p>
    <w:p>
      <w:r>
        <w:rPr>
          <w:b/>
        </w:rPr>
        <w:t>E. 3.5</w:t>
      </w:r>
    </w:p>
    <w:p>
      <w:r>
        <w:t>En l'espèce, la recourante reproche au Ministère public d'avoir retenu que la paire de boucle d'oreilles lui appartenant avait été vendue pour CHF 6'000.- par la mise en cause, soutenant qu'elle l'aurait été pour une somme supérieure et que cette dernière aurait conservé la différence. Or, aucun élément ne permet de retenir un dessein d'enrichissement illégitime de la mise en cause au sens de l'art. 138 CP, ce d'autant eu égard aux échanges entre les parties. En effet, il ressort des messages du 29 septembre 2022 que la mise en cause a informé la recourante avoir trouvé un acheteur pour CHF 6'000.-. L'acceptation de la proposition de vente, contenue dans la réponse de la recourante, est claire et sans équivoque ["ok" émoticône pouce en l'air]. À cela s'ajoute que le 13 octobre suivant,</w:t>
      </w:r>
    </w:p>
    <w:p>
      <w:r>
        <w:t>- 10/13 - P/1701/2023 la recourante a demandé à la mise en cause si elle avait remis l'entièreté de ladite somme à son ancien avocat ["Hun, you gave all 6K to D______"], ce que cette dernière a confirmé. La recourante a ensuite expliqué la raison de son interrogation, soit de pouvoir déduire ce montant de la somme due à ce dernier. Ces éléments confortent donc la version de la mise en cause selon laquelle le bijou a été vendu pour CHF 6'000.-, ce d'autant que la recourante n'a, à aucun moment, sollicité des informations complémentaires, à teneur desdits échanges. En tout état, ainsi que l'a retenu le Ministère public, les versions des parties quant aux termes de leur accord, en particulier s'agissant de l'affectation du produit de la vente du bijou, sont contradictoires et aucun élément objectif ne permet d'en établir la teneur, ce que la recourante ne conteste pas. Partant, même à obtenir des informations sur l'acheteur et le prix de vente du bijou, ces éléments ne permettraient pas encore de retenir que la mise en cause aurait utilisé le produit de ladite vente contrairement aux instructions données. Le mémoire de recours ne comporte aucun développement à ce sujet. Ainsi, à défaut d'indices objectifs, il n'est pas possible d'établir une prévention pénale suffisante d'abus de confiance à l'encontre de la mise en cause. Exempte de critique, la décision entreprise sera donc confirmée sur ce point.</w:t>
      </w:r>
    </w:p>
    <w:p>
      <w:r>
        <w:rPr>
          <w:b/>
        </w:rPr>
        <w:t>E. 3.6</w:t>
      </w:r>
    </w:p>
    <w:p>
      <w:r>
        <w:t>La recourante considère que l'art. 52 CP ne pouvait trouver application en l'espèce, le terme "escroc", proféré par la mise en cause le 26 novembre 2022 constituant une injure, qui ne pouvait être considéré comme anodine dans le milieu de la joaillerie. Si le caractère attentatoire à l'honneur de ladite assertion, directement liée à la commission d'une infraction pénale, n'est pas discutable, le terme incriminé ne semble pas avoir causé de dommage concret à la recourante. Elle ne prétend pas avoir été licenciée pour ce motif ni que ce propos aurait eu un impact négatif sur son avenir professionnel, étant relevé qu'il a été écrit dans un échange bilatéral, et non en présence de tiers. En outre, le propos litigieux a été rédigé sous le coup de l'émotion, lors d'un échange conflictuel. Enfin, il ressort de l'enchainement des messages que le terme litigieux se rapporte directement au litige "privé" opposant la recourante à son ancien avocat. L'environnement de travail des parties n'est donc pas pertinent en l'occurrence, ce d'autant qu'il n'est pas établi que la mise en cause aurait traité la recourante d'"escroc" auprès de ses employeurs. Dans ces circonstances, la culpabilité de la mise en cause apparaît de peu d'importance. Partant, les faits ne revêtent pas un degré de gravité tel qu'il faille les sanctionner pénalement. C'est donc à bon droit que le Ministère public a renoncé à poursuivre cette infraction en vertu de l'art. 52 CP.</w:t>
      </w:r>
    </w:p>
    <w:p>
      <w:r>
        <w:t>- 11/13 - P/1701/2023</w:t>
      </w:r>
    </w:p>
    <w:p>
      <w:r>
        <w:rPr>
          <w:b/>
        </w:rPr>
        <w:t>E. 4</w:t>
      </w:r>
    </w:p>
    <w:p>
      <w:r>
        <w:t>Justifiée, l'ordonnance querellée sera donc confirmée.</w:t>
      </w:r>
    </w:p>
    <w:p>
      <w:r>
        <w:rPr>
          <w:b/>
        </w:rPr>
        <w:t>E. 5</w:t>
      </w:r>
    </w:p>
    <w:p>
      <w:r>
        <w:t>La recourante, qui succombe, supportera les frais envers l'État, fixés en totalité à CHF 1'200.- (art. 428 al. 1 CPP et 13 al. 1 du Règlement fixant le tarif des frais en matière pénale, RTFMP ; E 4 10.03). * * * * *</w:t>
      </w:r>
    </w:p>
    <w:p>
      <w:r>
        <w:t>- 12/13 - P/1701/2023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