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ACPR/116/2019 vom 20. Dezember 2018</w:t>
      </w:r>
    </w:p>
    <w:p>
      <w:r>
        <w:t>GE Cour de justice, 2018-12-20, FR</w:t>
      </w:r>
    </w:p>
    <w:p>
      <w:r>
        <w:rPr>
          <w:b/>
        </w:rPr>
        <w:t xml:space="preserve">Quelle: </w:t>
      </w:r>
      <w:r>
        <w:t>https://mcp.opencaselaw.ch/entscheid/ge_gerichte_ACPR_116_2019</w:t>
      </w:r>
    </w:p>
    <w:p>
      <w:r>
        <w:t>FR: GE_GERICHTE ACPR/116/2019 du 20 décembre 2018</w:t>
      </w:r>
    </w:p>
    <w:p>
      <w:r>
        <w:t>IT: GE_GERICHTE ACPR/116/2019 del 20 dicembre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w:t>
      </w:r>
    </w:p>
    <w:p>
      <w:r>
        <w:t>- 4/7 - P/20701/2010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29 al. 1 CPP, si le prévenu a commis plusieurs infractions ou qu'il y a plusieurs coauteurs ou participation, les infractions seront poursuivies et jugées conjointement. Cet article met en œuvre le principe d'unité de la procédure, déjà prévu à l'art. 49 CP. Il peut être considéré comme une règle d'ordre, puisque les personnes poursuivies ne pourront pas invoquer ce principe pour en tirer un véritable droit.</w:t>
      </w:r>
    </w:p>
    <w:p>
      <w:r>
        <w:rPr>
          <w:b/>
        </w:rPr>
        <w:t>E. 3.2</w:t>
      </w:r>
    </w:p>
    <w:p>
      <w:r>
        <w:t>L'art. 30 CPP ("Exceptions") permet toutefois la disjonction de causes, si des raisons objectives le justifient. Ainsi, le risque d’une violation du principe de célérité constitue un motif objectif permettant de renoncer à juger conjointement plusieurs coauteurs (ATF 1B_684/2011 du 21 décembre 2011 consid. 3.2). Tel pourra être le cas lorsque, en présence d'une infraction jugée collectivement, certains prévenus sont sur le point d'être jugés alors que d'autres sont en fuite (A. KUHN / Y. JEANNERET (éds), Commentaire romand : Code de procédure pénale suisse, Bâle 2011 n. 4 ad art. 30; L. MOREILLON / A. PAREIN-REYMOND, CPP, Code de procédure pénale, Bâle 2013, n. 3 ad art. 30).</w:t>
      </w:r>
    </w:p>
    <w:p>
      <w:r>
        <w:rPr>
          <w:b/>
        </w:rPr>
        <w:t>E. 3.3</w:t>
      </w:r>
    </w:p>
    <w:p>
      <w:r>
        <w:t>Dans le cas d’espèce, la disjonction a été prononcée précisément afin de permettre le jugement rapide du recourant – eu égard de surcroît à la prescription prochaine des infractions poursuivies –, alors que son co-prévenu – qui se trouve à F______ (Émirats arabes unis) et ne pourrait quitter ce territoire – n'a pas pu, à ce jour, être entendu, malgré les démarches entreprises en ce sens par le Ministère public. L'ordonnance querellée constitue donc un cas typique de disjonction telle que prévue par la loi. Elle ne prête pas le flanc à la critique.</w:t>
      </w:r>
    </w:p>
    <w:p>
      <w:r>
        <w:rPr>
          <w:b/>
        </w:rPr>
        <w:t>E. 4</w:t>
      </w:r>
    </w:p>
    <w:p>
      <w:r>
        <w:t>Justifiée, ladite décision sera donc confirmée.</w:t>
      </w:r>
    </w:p>
    <w:p>
      <w:r>
        <w:rPr>
          <w:b/>
        </w:rPr>
        <w:t>E. 5</w:t>
      </w:r>
    </w:p>
    <w:p>
      <w:r>
        <w:t>Le recourant, bien qu'au bénéfice de l'assistance juridique, succombe. Il supportera les frais de la procédure de recours (art. 428 al. 1 CPP; arrêts du Tribunal fédéral 1B_203/2011 du 18 mai 2011 consid. 4 et 1B_372/2014 du 8 avril 2015 consid. 4.6</w:t>
      </w:r>
    </w:p>
    <w:p>
      <w:r>
        <w:t>- 5/7 - P/20701/2010 [arrêts qui rappellent que l'autorité de deuxième instance est tenue de dresser un état de frais pour la procédure de recours, sans égard à l'obtention de l'assistance judiciaire]), qui comprendront un émolument de décision de CHF 900.- (art. 13 al. 1 du Règlement fixant le tarif des frais en matière pénale, RTFMP; E 4 10.03) * * * * *</w:t>
      </w:r>
    </w:p>
    <w:p>
      <w:r>
        <w:t>- 6/7 - P/20701/2010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