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ACPR/116/2012 vom 19. März 2012</w:t>
      </w:r>
    </w:p>
    <w:p>
      <w:r>
        <w:t>GE Cour de justice, 2012-03-19, DE</w:t>
      </w:r>
    </w:p>
    <w:p>
      <w:r>
        <w:rPr>
          <w:b/>
        </w:rPr>
        <w:t xml:space="preserve">Quelle: </w:t>
      </w:r>
      <w:r>
        <w:t>https://mcp.opencaselaw.ch/entscheid/ge_gerichte_ACPR_116_2012</w:t>
      </w:r>
    </w:p>
    <w:p>
      <w:r>
        <w:t>FR: GE_GERICHTE ACPR/116/2012 du 19 mars 2012</w:t>
      </w:r>
    </w:p>
    <w:p>
      <w:r>
        <w:t>IT: GE_GERICHTE ACPR/116/2012 del 19 marzo 2012</w:t>
      </w:r>
    </w:p>
    <w:p>
      <w:pPr>
        <w:pStyle w:val="Heading2"/>
      </w:pPr>
      <w:r>
        <w:t>Volltext</w:t>
      </w:r>
    </w:p>
    <w:p>
      <w:r>
        <w:t>P/11984/2010 ACPR/116/2012 (3) du 19.03.2012 sur OTMC/595/2012 ( TMC ) , REFUS Descripteurs : ; DÉTENTION PROVISOIRE ; SOUPÇON ; RISQUE DE RÉCIDIVE ; PROPORTIONNALITÉ Normes : CPP.221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