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ACPR/113/2021 vom 26. Januar 2021</w:t>
      </w:r>
    </w:p>
    <w:p>
      <w:r>
        <w:t>GE Cour de justice, 2021-01-26, FR</w:t>
      </w:r>
    </w:p>
    <w:p>
      <w:r>
        <w:rPr>
          <w:b/>
        </w:rPr>
        <w:t xml:space="preserve">Quelle: </w:t>
      </w:r>
      <w:r>
        <w:t>https://mcp.opencaselaw.ch/entscheid/ge_gerichte_ACPR_113_2021</w:t>
      </w:r>
    </w:p>
    <w:p>
      <w:r>
        <w:t>FR: GE_GERICHTE ACPR/113/2021 du 26 janvier 2021</w:t>
      </w:r>
    </w:p>
    <w:p>
      <w:r>
        <w:t>IT: GE_GERICHTE ACPR/113/2021 del 26 gennaio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invoque l'insuffisance des charges.</w:t>
      </w:r>
    </w:p>
    <w:p>
      <w:r>
        <w:rPr>
          <w:b/>
        </w:rPr>
        <w:t>E. 2.1</w:t>
      </w:r>
    </w:p>
    <w:p>
      <w:r>
        <w:t>À teneur de l'art. 221 al. 1 première phrase CPP, la détention pour des motifs de sûreté ne peut être ordonnée que lorsque le prévenu est fortement soupçonné d'avoir commis un crime ou un délit. En d'autres termes, il doit exister à son égard des charges suffisantes ou des indices sérieux de culpabilité, c'est-à-dire des raisons plausibles de la soupçonner d'avoir commis une infraction. Le juge de la détention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Le recourant est poursuivi pour vol et rupture de ban. La découverte de son ADN est un indice sérieux de sa présence sur les lieux du vol et constitue dès lors un soupçon suffisant de ce qu'il pourrait avoir commis l'infraction. Le fait de rester en Suisse alors qu'il faisait l'objet d'une expulsion judicaire est constitutif de l'élément objectif de l'infraction de rupture de ban. Il n'appartient pas à la Chambre de céans d'apprécier les objections du recourant, lesquelles pourront être soulevées devant le juge du fond.</w:t>
      </w:r>
    </w:p>
    <w:p>
      <w:r>
        <w:rPr>
          <w:b/>
        </w:rPr>
        <w:t>E. 3</w:t>
      </w:r>
    </w:p>
    <w:p>
      <w:r>
        <w:t>Le recourant conteste l'existence d'un risque de fuite.</w:t>
      </w:r>
    </w:p>
    <w:p>
      <w:r>
        <w:rPr>
          <w:b/>
        </w:rPr>
        <w:t>E. 3.1</w:t>
      </w:r>
    </w:p>
    <w:p>
      <w:r>
        <w:t>Conformément à la jurisprudence, ce risque doit s'analyser en fonction d'un ensemble de critères tels que le caractère de l'intéressé, sa moralité, ses ressources,</w:t>
      </w:r>
    </w:p>
    <w:p>
      <w:r>
        <w:t>- 6/8 - P/13629/2020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 Une plongée dans la clandestinité en Suisse participe au risque de fuite (ATF 143 IV 160 consid. 4.3 p. 167).</w:t>
      </w:r>
    </w:p>
    <w:p>
      <w:r>
        <w:rPr>
          <w:b/>
        </w:rPr>
        <w:t>E. 3.2</w:t>
      </w:r>
    </w:p>
    <w:p>
      <w:r>
        <w:t>En l'occurrence, le recourant est de nationalité étrangère et sans attache avec la Suisse; il a manifesté le souhait de se rejoindre sa famille à D______ [F]. Il est d'ores et déjà renvoyé en jugement et le Ministère public a annoncé requérir une peine privative de liberté de 8 mois. Il existe ainsi un risque concret que, remis en liberté, il ne choisisse de disparaître dans la clandestinité ou à l'étranger pour se soustraire à une nouvelle condamnation.</w:t>
      </w:r>
    </w:p>
    <w:p>
      <w:r>
        <w:rPr>
          <w:b/>
        </w:rPr>
        <w:t>E. 4</w:t>
      </w:r>
    </w:p>
    <w:p>
      <w:r>
        <w:t>Le risque de fuite étant suffisant à faire échec au recours, point n'est besoin d'examiner si le risque de réitération a été retenu à bon escient (arrêt du Tribunal fédéral 1B_322/2019 du 17 juillet 2019 consid. 3.3 et la jurisprudence citée).</w:t>
      </w:r>
    </w:p>
    <w:p>
      <w:r>
        <w:rPr>
          <w:b/>
        </w:rPr>
        <w:t>E. 5</w:t>
      </w:r>
    </w:p>
    <w:p>
      <w:r>
        <w:t>Le recourant estime qu'un bracelet électronique, avec obligation de se présenter à un service administratif, serait de nature à pallier le risque de fuite.</w:t>
      </w:r>
    </w:p>
    <w:p>
      <w:r>
        <w:rPr>
          <w:b/>
        </w:rPr>
        <w:t>E. 5.1</w:t>
      </w:r>
    </w:p>
    <w:p>
      <w:r>
        <w:t>L'art. 237 al. 1 CPP prévoit que le tribunal compétent ordonne une ou plusieurs mesures moins sévères en lieu et place de la détention si ces mesures permettent d'atteindre le même but que la détention, par exemple l'assignation à résidence (let. c) et l'obligation de se présenter régulièrement à un service administratif (let. d).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w:t>
      </w:r>
    </w:p>
    <w:p>
      <w:r>
        <w:rPr>
          <w:b/>
        </w:rPr>
        <w:t>E. 5.2</w:t>
      </w:r>
    </w:p>
    <w:p>
      <w:r>
        <w:t>En l'espèce, le port d'un bracelet électronique, même cumulé à l'obligation de se présenter à un service administratif, ne paraît pas suffisant, compte tenu de la situation personnelle du recourant, pour pallier le risque de fuite, étant précisé que le port d'un bracelet électronique – dont on peut se demander si une personne sans domicile fixe pourrait en bénéficier – ne permettrait que de constater sa fuite, sans pouvoir techniquement l'empêcher, alors même que le recourant n'allègue, ni n'établit, bénéficier d'un domicile stable en Suisse.</w:t>
      </w:r>
    </w:p>
    <w:p>
      <w:r>
        <w:t>- 7/8 - P/13629/2020</w:t>
      </w:r>
    </w:p>
    <w:p>
      <w:r>
        <w:rPr>
          <w:b/>
        </w:rPr>
        <w:t>E. 6</w:t>
      </w:r>
    </w:p>
    <w:p>
      <w:r>
        <w:t>La durée de sa détention reste proportionnée au regard des peines menace et concrètement encourue, au vu de celle requise par le Ministère public, pour les infractions qui lui sont reprochées.</w:t>
      </w:r>
    </w:p>
    <w:p>
      <w:r>
        <w:rPr>
          <w:b/>
        </w:rPr>
        <w:t>E. 7</w:t>
      </w:r>
    </w:p>
    <w:p>
      <w:r>
        <w:t>L'ordonnance querellée sera dès lors confirmée.</w:t>
      </w:r>
    </w:p>
    <w:p>
      <w:r>
        <w:rPr>
          <w:b/>
        </w:rPr>
        <w:t>E. 8</w:t>
      </w:r>
    </w:p>
    <w:p>
      <w:r>
        <w:t>Le recourant,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