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ACPR/113/2019 vom 26. Juli 2018</w:t>
      </w:r>
    </w:p>
    <w:p>
      <w:r>
        <w:t>GE Cour de justice, 2018-07-26, FR</w:t>
      </w:r>
    </w:p>
    <w:p>
      <w:r>
        <w:rPr>
          <w:b/>
        </w:rPr>
        <w:t xml:space="preserve">Quelle: </w:t>
      </w:r>
      <w:r>
        <w:t>https://mcp.opencaselaw.ch/entscheid/ge_gerichte_ACPR_113_2019</w:t>
      </w:r>
    </w:p>
    <w:p>
      <w:r>
        <w:t>FR: GE_GERICHTE ACPR/113/2019 du 26 juillet 2018</w:t>
      </w:r>
    </w:p>
    <w:p>
      <w:r>
        <w:t>IT: GE_GERICHTE ACPR/113/2019 del 26 luglio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classé la procédure sans préciser quels éléments constitutifs de quelles infractions seraient réunis et sur quelle base la procédure devrait se poursuivre. Dans cette ignorance et afin d'être exhaustif, la Chambre de céans examinera les conditions des art. 125 et 229 CP.</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w:t>
      </w:r>
    </w:p>
    <w:p>
      <w:r>
        <w:t>- 9/14 - P/12424/2016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3.2.1. L'art. 229 CP sanctionne celui qui a enfreint les règles de l'art en dirigeant ou en exécutant une construction ou une démolition et aura par-là, intentionnellement (al. 1) ou par négligence (al. 2), mis en danger la vie ou l'intégrité corporelle des personnes. Les règles de l'art sont non seulement des règles destinées à protéger les utilisateurs lorsque la construction sera achevée (cf. ATF 117 II 259; JdT 1992 I p. 559), mais aussi et surtout des règles qui tendent à assurer la sécurité sur le chantier lors de l'exécution des travaux de construction ou de démolition (B. CORBOZ, Les infractions en droit suisse, vol. II, 3e éd., Berne 2010, n. 11 ad art. 229 CP). La violation d'une règle de l'art doit causer (même par omission) une mise en danger concrète; il s'agit donc d'une infraction de résultat. Seul compte ici un danger pour la vie ou l'intégrité corporelle (lésion du corps humain ou atteinte à la santé) (B. CORBOZ, Les infractions en droit suisse, vol. II, 3e éd., Berne 2010, n. 27 ad art. 229 CP, et les références citées; M. DUPUIS / L. MOREILLON / C. PIGUET / S. BERGER / M. MAZOU / V. RODIGARI (éds), Code pénal - Petit commentaire, 2e éd., Bâle 2017, n. 29 ad art. 229 CP et les références citées). Il s'agit d'une mise en danger collective, mais la mise en danger d'une seule personne est suffisante, pour autant, selon la théorie de la représentativité, que cette personne représente la collectivité, à savoir qu'elle n'est pas déterminée à l'avance, mais mise en danger par hasard (M. DUPUIS / L. MOREILLON / C. PIGUET / S. BERGER / M. MAZOU / V. RODIGARI (éds), op. cit., n. 30 ad art. 229 CP et les références citées, dont notamment G. STRATENWERTH / F. BOMMER, Schweizerisches Strafrecht, Besonderer Teil II : Straftaten gegen Gemeininteressen, 7e éd., Berne 2013, §30 n. 32 : "Der Betroffene darf nicht individuell vorherbestimmt sein"). L'art. 229 CP est d'ailleurs classé dans le titre 7 du Code pénal intitulé "Crimes ou délits créant un danger collectif". 3.2.2. Il apparaît, en l'espèce, que les éléments constitutifs de l'infraction ne sont pas réunis. En effet, l'art. 229 CP protège la collectivité et non les intérêts individuels. Or, il ressort du dossier que les seuls utilisateurs de la nacelle étaient le recourant et son collègue et que personne d'autre ne se trouvait dans la salle de</w:t>
      </w:r>
    </w:p>
    <w:p>
      <w:r>
        <w:t>- 10/14 - P/12424/2016 gymnastique. Ainsi, si tant est qu'une règle de l'art ait été violée – ce qu'il n'est pas nécessaire d'analyser en l'espèce –, ce n'est pas la vie ou l'intégrité corporelle "des personnes" qui était mise en danger, dans le sens collectif du terme, mais bien de deux personnes, déterminées à l'avance, ne représentant pas la collectivité que la disposition légale précitée tend exclusivement à protéger (cf. ACPR/477/2018 du 29 août 2018). Par conséquent, s'agissant de l'art. 229 CP, le prononcé d'une ordonnance de classement se justifie en l'espèce, ce qui emporte, par substitution de motifs, le rejet du recours. 3.3.1 L'art. 125 CP punit celui qui, par négligence, aura fait subir à une personne une atteinte à l'intégrité corporelle ou à la santé. Cette infraction suppose la réalisation de trois conditions : une négligence, une atteinte à l'intégrité physique et un lien de causalité naturelle et adéquate entre ces deux éléments. Il s'agit d'une infraction de résultat, qui suppose en général une action, mais qui, conformément à l'art. 11 al. 1 CP, peut aussi être réalisée par le fait d'un comportement passif contraire à une obligation d'agir. Pour qu'un délit d'omission improprement dit soit réalisé, il faut que l'auteur se trouve dans une position de garant impliquant un devoir de diligence, qu'il ait omis d'accomplir un acte que lui imposait ce devoir de diligence et que cette omission soit en relation de causalité, naturelle et adéquate, avec le résultat. 3.3.2. L'auteur est dans une position de garant notamment s'il a le devoir, découlant de la loi ou d'un acte juridique, de surveiller une source de danger, qui peut être une personne, un animal ou une chose (ATF 101 IV 30 consid. 2b). Tel est notamment le cas de l'employeur ou des dirigeants d’une société (ATF 125 IV 9 consid. 2a; 122 IV 103 consid. VI.2b; 117 IV 130 consid. 2; 109 IV 15 consid. 2a), étant précisé que l'art. 102 CP prévoit une responsabilité subsidiaire de l'entreprise au cas où un crime ou un délit commis en son sein ne peut être imputé à aucune personne physique déterminée en raison d'un manque d'organisation. 3.3.3. Un comportement est la cause naturelle d'un résultat s'il en constitue l'une des conditions sine qua non, c'est-à-dire si, sans lui, le résultat ne s'était pas produit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 Peu importe que le résultat soit dû à d'autres causes, notamment à l'état de la victime, à son comportement ou à celui de tiers (ATF 131 IV 145 consid. 5.2 p. 148). La causalité adéquate peut toutefois être exclue si une autre cause concomitante, par</w:t>
      </w:r>
    </w:p>
    <w:p>
      <w:r>
        <w:t>- 11/14 - P/12424/2016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p. 65, 134 IV 255 consid. 4.4.2 p. 265 s. et les références citées ; arrêts du Tribunal fédéral 6B_315/2016 du 1er novembre 2016 consid. 5 et 6B_466/2016 du 23 mars 2017). Lorsque l'infraction est réalisée par omission, il faut procéder par hypothèse et se demander si l'accomplissement de l'acte omis aurait, selon le cours ordinaire des choses et l'expérience de la vie, évité la survenance du résultat. L'existence de la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(arrêt du Tribunal fédéral 6B_468/2012 du 24 octobre 2012 consid. 2.6.). 3.3.4. En l'espèce, le recourant reproche au mis en cause C______ d'avoir omis de procéder à un examen préalable des risques présentés par le chantier et de planifier l'utilisation de la nacelle avec ses employés, sans leur donner les instructions nécessaires à une utilisation sûre de celle-ci. Or, de telles omissions – si tant est qu'elles soient fautives, ce qu'il n'est pas nécessaire d'élucider en l'espèce – ne sont pas la cause naturelle et adéquate de l'accident et donc des lésions subies par le recourant. En effet, il ressort du dossier que, lors de l'accident, la nacelle roulait de manière fluide, sans "à-coups", et que la cause de son renversement réside dans le fait que ses roues se sont bloquées dans la saignée sur le sol. Or, les trois utilisateurs successifs de cette nacelle avaient vu cette saignée. Le conducteur de l'engin au moment de l'accident était un contremaître confirmé, formé à déceler les dangers et titulaire du permis de conduire nécessaire à l'accomplissement de sa tâche. Il a, par ailleurs, admis avoir eu conscience de la dangerosité de la saignée et l'avoir évitée une première fois. Au moment de l'accident, il l'avait oubliée et ne regardait pas le sol, se repérant dans l'espace grâce aux poutres du plafond. Ainsi, on ne voit pas en quoi le fait que le mis en cause constate par lui-même l'existence de la saignée et en discute avec ses employés, aurait pu changer le déroulement des événements tel que décrit ci-dessus, l'accident n'ayant pas pour cause l'ignorance du danger par lesdits employés mais son oubli par l'un d'eux, ce qu'aucune instruction de l'employeur n'aurait pu éviter.</w:t>
      </w:r>
    </w:p>
    <w:p>
      <w:r>
        <w:t>- 12/14 - P/12424/2016 Ce grief sera, dès lors, également rejeté. 3.3.5. Le recourant ne remet pas en cause le classement en tant qu'il concerne son collègue D______ de sorte qu'il n'y sera pas revenu.</w:t>
      </w:r>
    </w:p>
    <w:p>
      <w:r>
        <w:rPr>
          <w:b/>
        </w:rPr>
        <w:t>E. 4</w:t>
      </w:r>
    </w:p>
    <w:p>
      <w:r>
        <w:t>Le recourant estime nécessaire qu'il soit procédé à l'audition de K______, ingénieur spécialiste en sécurité du travail auprès de la L______ pour être entendu au sujet des obligations de tout acteur d'un chantier et afin de fournir tous éclairages utiles en la matière. Cette mesure n'étant pas de nature à modifier le raisonnement sus-décrit, il n'incombait pas au Ministère public d'y donner suite.</w:t>
      </w:r>
    </w:p>
    <w:p>
      <w:r>
        <w:rPr>
          <w:b/>
        </w:rPr>
        <w:t>E. 5</w:t>
      </w:r>
    </w:p>
    <w:p>
      <w:r>
        <w:t>Justifiée, l'ordonnance querellée sera donc confirmée.</w:t>
      </w:r>
    </w:p>
    <w:p>
      <w:r>
        <w:rPr>
          <w:b/>
        </w:rPr>
        <w:t>E. 6</w:t>
      </w:r>
    </w:p>
    <w:p>
      <w:r>
        <w:t>Le recourant, qui succombe, supportera les frais envers l'État, fixés en totalité à CHF 1'000.- (art. 428 al. 1 CPP et 13 al. 1 du Règlement fixant le tarif des frais en matière pénale, RTFMP ; E 4 10.03). * * * * *</w:t>
      </w:r>
    </w:p>
    <w:p>
      <w:r>
        <w:t>- 13/14 - P/12424/2016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