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ACPR/110/2023 vom 26. August 2022</w:t>
      </w:r>
    </w:p>
    <w:p>
      <w:r>
        <w:t>GE Cour de justice, 2022-08-26, FR</w:t>
      </w:r>
    </w:p>
    <w:p>
      <w:r>
        <w:rPr>
          <w:b/>
        </w:rPr>
        <w:t xml:space="preserve">Quelle: </w:t>
      </w:r>
      <w:r>
        <w:t>https://mcp.opencaselaw.ch/entscheid/ge_gerichte_ACPR_110_2023</w:t>
      </w:r>
    </w:p>
    <w:p>
      <w:r>
        <w:t>FR: GE_GERICHTE ACPR/110/2023 du 26 août 2022</w:t>
      </w:r>
    </w:p>
    <w:p>
      <w:r>
        <w:t>IT: GE_GERICHTE ACPR/110/2023 del 26 agosto 2022</w:t>
      </w:r>
    </w:p>
    <w:p>
      <w:pPr>
        <w:pStyle w:val="Heading2"/>
      </w:pPr>
      <w:r>
        <w:t>Erwägungen</w:t>
      </w:r>
    </w:p>
    <w:p>
      <w:r>
        <w:rPr>
          <w:b/>
        </w:rPr>
        <w:t>E. 1.1</w:t>
      </w:r>
    </w:p>
    <w:p>
      <w:r>
        <w:t>Le recours a été déposé selon la forme et – faute de notification conforme à l'art. 85 al. 2 CP – dans le délai prescrits (art. 385 al. 1 et 396 al. 1 CPP), concerne une ordonnance sujette à recours auprès de la Chambre de céans (art. 393 al. 1 let. a CPP) et émane de la plaignante (art. 104 al. 1 let. b CPP).</w:t>
      </w:r>
    </w:p>
    <w:p>
      <w:r>
        <w:t>- 8/15 - P/24958/2021 1.2.1. Cette dernière n'a toutefois qualité pour agir, fondée sur un intérêt juridiquement protégé à la modification ou à l'annulation de la décision querellée (art. 382 al. 1 CPP), que pour autant qu'elle soit directement et personnellement lésée par l'infraction dénoncée (art. 115 al. 1 CPP), ce qui implique en principe qu'elle soit titulaire du bien juridiquement protégé par cette dernière (arrêt du Tribunal fédéral 1B_678/2011 du 30 janvier 2012, consid. 2.1). Il convient donc d'interpréter le texte de l'infraction pour en déterminer le titulaire et ainsi savoir qui a qualité de lésé (ATF 118 IV 209 consid. 2 p. 211). 1.2.2. L'art. 251 CP protège, en tant que bien juridique, d'une part, la confiance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119 Ia 342 consid. 2b et les références citées). Tel est le cas lorsque le faux est l'un des éléments d'une infraction contre le patrimoine; la personne dont le patrimoine est menacé ou atteint a alors la qualité de lésé (arrêt du Tribunal fédéral 6B_1289/2015 du 20 juin 2016 consid. 2.3). 1.2.3. Les différentes dispositions du Titre 2 de la partie spéciale du Code pénal – comprenant l'infraction d'escroquerie (art. 146) – tendent à protéger l'ayant droit du patrimoine lésé (M. DUPUIS / L. MOREILLON / C. PIGUET / S. BERGER / M. MAZOU / V. RODIGARI (éds), Code pénal - Petit commentaire, 2ème éd., Bâle 2017, n. 1 ad. Rem. prél. aux art. 137 ss). 1.2.4. En l'espèce, on peut douter que la recourante ait été directement atteinte dans son patrimoine, en tant qu'elle soutient n'avoir pu faire valoir ses droits sur les avoirs ayant été soustraits à la succession de son père. Cela étant, cette question peut rester ouverte vu le sort donné au recours.</w:t>
      </w:r>
    </w:p>
    <w:p>
      <w:r>
        <w:rPr>
          <w:b/>
        </w:rPr>
        <w:t>E. 1.3</w:t>
      </w:r>
    </w:p>
    <w:p>
      <w:r>
        <w:t>Les pièces nouvelles produites à l'appui de cet acte sont recevables, la jurisprudence admettant la production de faits et moyens de preuve nouveaux en deuxième instance (arrêt du Tribunal fédéral 1B_550/2022 du 17 novembre 2022 consid. 2.1).</w:t>
      </w:r>
    </w:p>
    <w:p>
      <w:r>
        <w:rPr>
          <w:b/>
        </w:rPr>
        <w:t>E. 2</w:t>
      </w:r>
    </w:p>
    <w:p>
      <w:r>
        <w:t>A______ reproche au Ministère public de n'avoir pas tenu compte du rapport de police. Dès lors que la Chambre de céans jouit d'un plein pouvoir de cognition en droit et en fait (art. 393 al. 2 CPP; ATF 137 I 195 consid. 2.3.2 p. 198; arrêt du Tribunal fédéral 1B_524/2012 du 15 novembre 2012 consid. 2.1), les éventuelles constatations incomplètes ou inexactes du Ministère public auront été corrigées dans l'état de fait établi ci-devant.</w:t>
      </w:r>
    </w:p>
    <w:p>
      <w:r>
        <w:t>- 9/15 - P/24958/2021</w:t>
      </w:r>
    </w:p>
    <w:p>
      <w:r>
        <w:rPr>
          <w:b/>
        </w:rPr>
        <w:t>E. 3</w:t>
      </w:r>
    </w:p>
    <w:p>
      <w:r>
        <w:t>La recourante reproche au Ministère public de n'être pas entré en matière sur sa plainte.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Code de procédure pénale suisse, 2ème éd., Bâle 2019, n. 10 ad art. 310). 3.2.1.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w:t>
      </w:r>
    </w:p>
    <w:p>
      <w:r>
        <w:t>- 10/15 - P/24958/2021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p. 14 s.).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(ATF 142 IV 119 consid. 2.1 p. 121 et les références citées).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p. 377; 135 IV 12 consid. 2.2 p. 15 s.). Par ailleurs, l'art. 251 CP exige un dessein spécial, à savoir que l'auteur agisse afin de porter atteinte aux intérêts pécuniaires ou aux droits d'autrui ou de se procurer ou de procurer à un tiers un avantage illicite (ATF 141 IV 369 consid. 7.4 p. 377; 138 IV 130 consid. 3.2.4 p. 141). 3.2.2. Le Tribunal fédéral a admis qu'un relevé bancaire adressé à un client par un organe dirigeant de la banque revêtait une valeur probante accrue. Il a exposé que ledit organe était placé dans une position analogue à celle d'un garant dès lors qu'il devait exécuter son mandat dans l'intérêt des déposants; dans le cas particulier, ses attestations revêtaient une force probante accrue vu la nature du mandat, l'impossibilité de vérification et la confiance particulière attachée aux activités commerciales des banques (soumises à une législation et à des contrôles spécifiques, employant du personnel en général très qualifié, à la réputation sans tache, qui doit respecter le secret bancaire). Il a précisé que cela ne signifiait pas que n'importe quel relevé bancaire dont le contenu était inexact tombait sous l'empire de l'art. 251 CP; encore fallait-il qu'il présentât des caractéristiques du type de celles retenues (ATF 120 IV 361 consid. 2c p. 364; arrêt 6B_1381/2021 du 24 janvier 2022 consid. 3.1.3). Les relevés de compte établis automatiquement sans signature par une société d'investissement étrangère (arrêt du Tribunal fédéral 6B_406/2008 du 12 décembre 2008 consid. 3.4) et par un gérant de fortune (arrêt du Tribunal fédéral 6B_199/2011 du 10 avril 2012 consid. 9.4) ne constituent pas des titres à valeur probante accrue.</w:t>
      </w:r>
    </w:p>
    <w:p>
      <w:r>
        <w:t>- 11/15 - P/24958/2021 Les déclarations d'un organe dirigeant d'une banque n'ont pas de valeur probante accrue en tant qu'elles sont destinées à l'interne (arrêt du Tribunal fédéral 6B_199/2011 susmentionné consid. 10.1; Y. JEANNERET / A. KUHN / C. PERRIER DEPEURSINGE (éds), op. cit., n. 69 et nbp 187 ad art. 251).</w:t>
      </w:r>
    </w:p>
    <w:p>
      <w:r>
        <w:rPr>
          <w:b/>
        </w:rPr>
        <w:t>E. 3.3</w:t>
      </w:r>
    </w:p>
    <w:p>
      <w:r>
        <w:t>Selon l'art. 146 al. 1 CP, se rend coupable d'escroquerie quiconque,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 209).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(cf. not. arrêt du Tribunal fédéral 6B_1050/2019 du 20 novembre 2019 consid. 4.1 et les références citées). Quant au troisième comportement prévu par la loi, il se distingue des deux précédents en ce sens que l'erreur est préexistante (arrêt du Tribunal fédéral 6B_718/2018 du 15 mars 2019 consid. 4.3.1).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ss). L'astuce n'est toutefois pas réalisée si la dupe pouvait se protéger avec un minimum d'attention ou éviter l'erreur avec le minimum de prudence que l'on pouvait attendre d'elle (ATF 135 IV 76 consid. 5.2).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6B_552/2013 du 9 janvier 2014 consid. 2.3.2).</w:t>
      </w:r>
    </w:p>
    <w:p>
      <w:r>
        <w:t>- 12/15 - P/24958/2021 Sur le plan subjectif, l'escroquerie est une infraction intentionnelle. L'intention doit porter sur tous les éléments constitutifs de l'infraction. Il faut en particulier que l'auteur ait eu l'intention de commettre une tromperie astucieuse (cf. ATF 128 IV 18 consid. 3b p. 21). L'auteur doit en outre avoir agi dans le dessein de se procurer ou de procurer à un tiers un enrichissement illégitime correspondant au dommage de la dupe (ATF 134 IV 210 consid. 5.3 p. 213 s; arrêt du Tribunal fédéral 6B_1141/2017 du 7 juin 2018 consid. 1.2.2).</w:t>
      </w:r>
    </w:p>
    <w:p>
      <w:r>
        <w:rPr>
          <w:b/>
        </w:rPr>
        <w:t>E. 3.4</w:t>
      </w:r>
    </w:p>
    <w:p>
      <w:r>
        <w:t>En l'espèce, il ressort tant de la plainte que du rapport de la police du 28 avril 2022 que plusieurs opérations – notamment des transferts sur des comptes aux noms de la sœur et du père de la recourante – ne figuraient pas sur les attestations du 18 novembre 2013. Toutefois, le seul fait que les noms des mis en cause apparaissent sur les attestations litigieuses ne suffit pas à attribuer à celles-ci une valeur probante accrue. Les conditions énumérées par le Tribunal fédéral dans l'arrêt dont se prévaut la recourante ne sont pas réalisées en l'espèce. En particulier, il n'existait pas de relation de confiance particulière entre la recourante et les mis en cause, dans la mesure où aucun d'eux ne gérait les comptes dans le cadre d'un mandat de gestion de fortune confié à la banque. On ne peut non plus retenir qu'une telle relation s'était établie par le fait que B______ lui avait remis les attestations litigieuses dans les bureaux de D______ SA en novembre 2013, étant précisé que tant la conclusion du contrat avec la maison mère que la seconde réunion ont eu lieu ultérieurement. De surcroît, les attestations litigieuses n'étaient ni signées ni munies d'en-tête de la banque. Dans ces conditions, on ne saurait admettre qu'elles constituent des titres. Il en va de même de la note L______ et celle de décembre 2015 remises à la recourante, dans la mesure où celles-ci – ne portant ni date, ni auteur, ni en-tête de la banque – s'apparentent à des notes destinées à l'interne, ne revêtant pas une valeur probante accrue. Partant, les éléments objectifs de l'infraction de faux dans les titres, en particulier la condition de la valeur probante accrue du document, ne sont manifestement pas remplies.</w:t>
      </w:r>
    </w:p>
    <w:p>
      <w:r>
        <w:rPr>
          <w:b/>
        </w:rPr>
        <w:t>E. 3.5</w:t>
      </w:r>
    </w:p>
    <w:p>
      <w:r>
        <w:t>S'agissant de l'infraction d'escroquerie, la recourante invoque avoir été victime d'une mise en scène, comportant, d'abord, la conclusion d'une convention très inhabituelle avec la maison mère de la banque, puis la remise, lors d'une réunion, de la note de décembre 2015 contenant, de nouveau, de fausses informations. Or il ne ressort ni de sa plainte ni du rapport de police du 28 avril 2022 que le contenu de la note de décembre 2015 serait inexact. Au contraire, c'est grâce à la note précitée que la recourante a appris l'existence du compte ouvert au nom de son père en les livres de la banque L______ et des transferts au bénéfice du compte 7______ au nom de sa sœur. Ce d'autant qu'elle a également été mise en possession des relevés de ce compte. On ne décèle dès lors pas de soupçon de machination astucieuse. En tout état</w:t>
      </w:r>
    </w:p>
    <w:p>
      <w:r>
        <w:t>- 13/15 - P/24958/2021 de cause, la recourante n'établit pas en quoi une éventuelle tromperie astucieuse de la part des mis en cause l'aurait déterminée à effectuer des actes préjudiciables à ses intérêts pécuniaires, étant précisé que son père était en vie en 2013 et qu'en 1999 il restait toujours titulaire des comptes, les avoirs ayant seulement changé de banque. La décision querellée est, là également, exempte de reproche. Au vu de ce qui précède, faute de prévention pénale suffisante, point n'est besoin de faire procéder aux actes d'enquête sollicités par la recourante.</w:t>
      </w:r>
    </w:p>
    <w:p>
      <w:r>
        <w:rPr>
          <w:b/>
        </w:rPr>
        <w:t>E. 4</w:t>
      </w:r>
    </w:p>
    <w:p>
      <w:r>
        <w:t>Justifiée, l'ordonnance querellée sera donc confirmée.</w:t>
      </w:r>
    </w:p>
    <w:p>
      <w:r>
        <w:rPr>
          <w:b/>
        </w:rPr>
        <w:t>E. 5</w:t>
      </w:r>
    </w:p>
    <w:p>
      <w:r>
        <w:t>La recourante, qui succombe, supportera les frais envers l'État, qui seront fixés en totalité à CHF 1'200.- (art. 428 al. 1 CPP et 13 al. 1 du Règlement fixant le tarif des frais en matière pénale, RTFMP; E 4 10.03). * * * * *</w:t>
      </w:r>
    </w:p>
    <w:p>
      <w:r>
        <w:t>- 14/15 - P/24958/2021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