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ACPR/109/2026 vom 30. Januar 2026</w:t>
      </w:r>
    </w:p>
    <w:p>
      <w:r>
        <w:t>GE Cour de justice, 2026-01-30, FR</w:t>
      </w:r>
    </w:p>
    <w:p>
      <w:r>
        <w:rPr>
          <w:b/>
        </w:rPr>
        <w:t xml:space="preserve">Quelle: </w:t>
      </w:r>
      <w:r>
        <w:t>https://mcp.opencaselaw.ch/entscheid/ge_gerichte_ACPR_109_2026</w:t>
      </w:r>
    </w:p>
    <w:p>
      <w:r>
        <w:t>FR: GE_GERICHTE ACPR/109/2026 du 30 janvier 2026</w:t>
      </w:r>
    </w:p>
    <w:p>
      <w:r>
        <w:t>IT: GE_GERICHTE ACPR/109/2026 del 30 gennaio 2026</w:t>
      </w:r>
    </w:p>
    <w:p>
      <w:pPr>
        <w:pStyle w:val="Heading2"/>
      </w:pPr>
      <w:r>
        <w:t>Erwägungen</w:t>
      </w:r>
    </w:p>
    <w:p>
      <w:r>
        <w:rPr>
          <w:b/>
        </w:rPr>
        <w:t>E. 1</w:t>
      </w:r>
    </w:p>
    <w:p>
      <w:r>
        <w:t>La recevabilité du recours étant acquise, il n'y a pas lieu d'y revenir.</w:t>
      </w:r>
    </w:p>
    <w:p>
      <w:r>
        <w:rPr>
          <w:b/>
        </w:rPr>
        <w:t>E. 2</w:t>
      </w:r>
    </w:p>
    <w:p>
      <w:r>
        <w:t>Les pièces nouvelles produites par le recourant sont recevables, la jurisprudence admettant la production de faits et de moyens de preuve nouveaux en deuxième instance (arrêt du Tribunal fédéral 1B_550/2022 du 17 novembre 2022 consid. 2.1).</w:t>
      </w:r>
    </w:p>
    <w:p>
      <w:r>
        <w:rPr>
          <w:b/>
        </w:rPr>
        <w:t>E. 3</w:t>
      </w:r>
    </w:p>
    <w:p>
      <w:r>
        <w:t>3.1.1. 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 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(arrêt du Tribunal fédéral 1B_454/2011 du 6 décembre 2011 consid. 3.2).</w:t>
      </w:r>
    </w:p>
    <w:p>
      <w:r>
        <w:t>- 10/17 - P/7261/2023 3.1.2. Conformément à l'art. 310 al. 1 let. b CPP, la procédure peut également faire l'objet d'une ordonnance de non-entrée en matière lorsqu'il existe des empêchements de procéder. Ainsi en va-t-il en cas d’inexistence d’un for en Suisse (arrêts du Tribunal fédéral 6B_1335/2018 du 28 février 2019 consid. 4.5.1 ; 6B_127/2013 du 3 septembre 2013 consid. 4), question qui doit être examinée d'office à tous les stades de la procédure (ACPR/586/2023 du 27 juillet 2023, consid. 4.1 ; Y. JEANNERET / A. KUHN / C. PERRIER DEPEURSINGE (éds), op. cit., n. 14 ad art. 310).</w:t>
      </w:r>
    </w:p>
    <w:p>
      <w:r>
        <w:rPr>
          <w:b/>
        </w:rPr>
        <w:t>E. 3.2</w:t>
      </w:r>
    </w:p>
    <w:p>
      <w:r>
        <w:t>Se rend coupable de gestion déloyale quiconque, en vertu de la loi, d'un mandat officiel ou d'un acte juridique, est tenu de gérer les intérêts pécuniaires d'autrui ou de veiller sur leur gestion et qui, en violation de ses devoirs, porte atteinte à ces intérêts ou permet qu'ils soient lésés (art. 158 CP). La gestion déloyale est une infraction de résultat, qui se concrétise par la survenance du dommage.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123 IV 17 consid. 3d ; 121 IV 104 consid. 2c) ; un préjudice temporaire suffit (ATF 121 IV 104 précité). Le patrimoine est diminué sur le plan économique lorsque sa mise en danger doit figurer au bilan, si celui-ci est correctement établi, sous forme d'un ajustement de valeur ou d'une provision (ATF 123 IV 17 consid. 3d ; 122 IV 279 consid. 2a). Il n'est pas nécessaire que le dommage corresponde à l'enrichissement de l'auteur, ni qu'il soit chiffré, mais il faut qu'il soit certain. Ainsi, le dommage n'existe que lorsque la personne lésée a un droit protégé par le droit civil à la compensation du dommage subi (cf. ATF 129 IV 124 consid. 3.1 = JdT 2005 IV 112 ; 123 IV 17 consid. 3d ; 122 IV 279 consid. 2a ; 121 IV 104 consid. 2c).</w:t>
      </w:r>
    </w:p>
    <w:p>
      <w:r>
        <w:rPr>
          <w:b/>
        </w:rPr>
        <w:t>E. 3.3</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w:t>
      </w:r>
    </w:p>
    <w:p>
      <w:r>
        <w:t>- 11/17 - P/7261/2023 spécial, une obligation de parler (cf. not. arrêt du Tribunal fédéral 6B_1050/2019 du 20 novembre 2019 consid. 4.1 et les références citées). Quant au troisième comportement prévu par la loi, il se distingue des deux précédents en ce sens que l'erreur est préexistante (arrêt du Tribunal fédéral 6B_718/2018 du 15 mars 2019 consid. 4.3.1).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L'astuce n'est toutefois pas réalisée si la dupe pouvait se protéger avec un minimum d'attention ou éviter l'erreur avec le minimum de prudence que l'on pouvait attendre d'elle (ATF 135 IV 76 consid. 5.2).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128 IV 18 consid. 3a; arrêt du Tribunal fédéral 6B_1010/2018 du 22 janvier 2019 consid. 3.3.1). 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6B_552/2013 du 9 janvier 2014 consid. 2.3.2).</w:t>
      </w:r>
    </w:p>
    <w:p>
      <w:r>
        <w:rPr>
          <w:b/>
        </w:rPr>
        <w:t>E. 3.4</w:t>
      </w:r>
    </w:p>
    <w:p>
      <w:r>
        <w:t>Aux termes de l'art. 3 al. 1 CP, le code pénal suisse est applicable à quiconque commet un crime ou un délit en Suisse. Cette disposition reprend le principe de base applicable en droit pénal international qui est celui de la territorialité, en vertu duquel les auteurs d'infractions sont soumis à la juridiction du pays où elles ont été commises (ATF 121 IV 145 consid. 2b/bb; arrêt du Tribunal fédéral 6B_21/2009 du 19 mai 2009 consid. 1.1). Un crime ou un délit est réputé commis tant au lieu où l'auteur a agi ou aurait dû agir qu'au lieu où le résultat s'est produit (art. 8 al. 1 CP).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w:t>
      </w:r>
    </w:p>
    <w:p>
      <w:r>
        <w:t>- 12/17 - P/7261/2023 144 IV 265 consid 2.7.2). Le droit suisse consacre la théorie de l'ubiquité dite relative, qui s'oppose à l'ubiquité dite absolue. Pour déterminer le for, il ne suffit pas, comme le prévoit la théorie de l'ubiquité absolue, de constater que le territoire suisse est touché de près ou de loin par l'infraction, par exemple par des actes préparatoires, des conditions préalables, des effets intermédiaires ou, plus généralement, tout effet au sens large de l'infraction. Il faut que l'un de ces éléments constitutifs objectifs ait été exécuté, même partiellement en Suisse. Ce principe de l'ubiquité relative, qui seul a cours en Suisse, établit un parallèle entre la localisation de l'infraction et sa typicité (arrêt du Tribunal fédéral 6B_669/2023 du 24 mars 2025 consid. 8.3.1).</w:t>
      </w:r>
    </w:p>
    <w:p>
      <w:r>
        <w:rPr>
          <w:b/>
        </w:rPr>
        <w:t>E. 3.4.1</w:t>
      </w:r>
    </w:p>
    <w:p>
      <w:r>
        <w:t>En matière d'escroquerie, le lieu de l'acte se définit comme celui où se trouve l'auteur au moment où il réalise la tromperie astucieuse. En pratique, la réalisation des manœuvres frauduleuses, de la mise en scène ou la fabrication d'un édifice de mensonges permettant de retenir l'astuce impliquent souvent une pluralité d'actes. Il suffit alors qu'une partie seulement des actes caractérisant la tromperie astucieuse soit réalisée en Suisse pour fonder la compétence des autorités suisses (arrêt 6B_635/2018 du 24 octobre 2018 consid. 2.1.3 et les références citées). L'escroquerie est un délit matériel à double résultat: le premier est constitué par l'appauvrissement de la victime, le second l'enrichissement dont seul le dessein - à l'exclusion de la réalisation - est un élément constitutif de l'infraction. Tant le lieu où s'est produit l'appauvrissement que celui où s'est produit, respectivement devait se produire le résultat recherché par l'auteur constituent le lieu du résultat au sens de l'art. 8 CP (ATF 141 IV 336 consid. 1.1 p. 338, également arrêt 6B_436/2014 du 2 mars 2015 consid. 1.2.1).</w:t>
      </w:r>
    </w:p>
    <w:p>
      <w:r>
        <w:rPr>
          <w:b/>
        </w:rPr>
        <w:t>E. 3.4.2</w:t>
      </w:r>
    </w:p>
    <w:p>
      <w:r>
        <w:t>En matière de gestion déloyale (art. 158 CP), le lieu de l'acte au sens de l'art. 8 CP se définit comme celui où l'auteur viole, par action ou par omission, son devoir de gestion. Dans ce cas, faute de connaître le lieu précis où les actes caractérisant la violation d'un devoir de gestion ont eu lieu, l'on peut présumer que ces actes, imputables à l'organe d'une société, seront localisables à son siège, d'où cette dernière est en principe gérée. Par ailleurs, le lieu de survenance du résultat se définit comme le lieu où survient le dommage causé par le gérant, lieu qui doit s'apprécier en fonction des circonstances concrètes propres à chaque cas (A. DYENS, Territorialité et ubiquité en droit pénal international suisse, Bâle 2014, p. 290-291 et p. 384). Dans la gestion déloyale qualifiée (art. 158 ch. 1 al. 3 CP), on admet la compétence des autorités suisses au lieu de l'enrichissement voulu (ou obtenu) par l'auteur (arrêts du Tribunal fédéral 6B_659/2014 du 22 décembre 2017 consid. 6.4.1 [art. 158 CP]; 6B_251/2012 du 2 octobre 2012 consid. 1.4; 6B_74/2011 du 13 septembre 2011 consid. 2.4.2; 6B_178/2011 du 20 juin 2011 consid. 3.3 [art. 138 CP]; A. MACALUSO / L. MOREILLON / N. QUELOZ [éds], Commentaire romand, Code pénal II : Art. 111-392 CP, Bâle 2017, n. 128-131 ad art. 158 CP et n. 5 ad art. 138).</w:t>
      </w:r>
    </w:p>
    <w:p>
      <w:r>
        <w:rPr>
          <w:b/>
        </w:rPr>
        <w:t>E. 3.4.3</w:t>
      </w:r>
    </w:p>
    <w:p>
      <w:r>
        <w:t>En présence d'une omission d'agir (cf. art. 8 et 11 al. 1 CP), le lieu de l’omission est tout endroit où se trouve physiquement l’auteur tant que dure son devoir d’agir et qu’il refuse de s’y soumettre, bien qu’il ait la possibilité matérielle de s’exécuter (ATF</w:t>
      </w:r>
    </w:p>
    <w:p>
      <w:r>
        <w:t>- 13/17 - P/7261/2023 125 IV 14 consid. 2c/aa; K. VILLARD, La compétence du juge pénal suisse à l'égard de l'infraction reprochée à l'entreprise, Zurich 2017, n. 301). Si, lorsque l'exécution doit s'accomplir en un lieu particulier, le lieu de domicile du créancier peut également être envisagé (cf. art. 74 al. 2 ch. 1 CO), tel n'est pas le cas lorsque le lieu de l’exécution n’est pas lié à un endroit particulier. Or, c’est bien à son lieu de séjour (ou de son siège) que l’auteur devrait réaliser les actes nécessaires à cet effet, par exemple aller à la poste ou effectuer un virement bancaire (K. VILLARD, op. cit., n. 304 et 305). Dans le contexte moderne, où les paiements – a fortiori commerciaux – ne sont plus exécutés directement en mains du créancier mais par le truchement d'institutions bancaires, retenir que le résultat de l'infraction liée à une omission d'agir se produirait au lieu où le créancier aurait dû recevoir un versement procède d'une confusion entre l'endroit de la non-exécution, d'une part, et le lieu où cette non-exécution produit ses effets (cf. K. VILLARD, op. cit., n. 301 et les références citées).</w:t>
      </w:r>
    </w:p>
    <w:p>
      <w:r>
        <w:rPr>
          <w:b/>
        </w:rPr>
        <w:t>E. 3.5</w:t>
      </w:r>
    </w:p>
    <w:p>
      <w:r>
        <w:t>En l'espèce, le Tribunal fédéral a considéré qu'une infraction de nature patrimoniale ne pouvait être exclue, les faits dénoncés étant susceptibles d'être subsumés comme une gestion déloyale (art. 158 CP) ou, éventuellement, une autre infraction patrimoniale, telle l'escroquerie invoquée par le recourant. Dans la mesure où il convient de déterminer la compétence territoriale des autorités suisses pour chaque infraction susceptible de trouver application, il sera examiné ci-après la réalisation éventuelle des éléments constitutifs des infractions d'escroquerie et de gestion déloyale, ainsi que les règles de for correspondantes.</w:t>
      </w:r>
    </w:p>
    <w:p>
      <w:r>
        <w:rPr>
          <w:b/>
        </w:rPr>
        <w:t>E. 3.5.1</w:t>
      </w:r>
    </w:p>
    <w:p>
      <w:r>
        <w:t>En l'occurrence, le recourant soutient avoir été trompé par des montants "erronés" indiqués dans les décomptes des redevances qui lui étaient dues. Or, un tel procédé ne constitue pas une tromperie astucieuse, la mise en cause n'ayant pas eu recours à un édifice de mensonges, à des manœuvres frauduleuses ou à une mise en scène pour endormir la méfiance du recourant. Au contraire, celle-ci lui a, à sa demande, et conformément à ce qui avait été convenu entre eux, transmis, ainsi qu'à ses mandataires, des pièces comptables leur permettant de vérifier le calcul des redevances afin de constater, le cas échéant, d'éventuelles irrégularités. La confiance que la mise en cause, et ses dirigeants, inspiraient au recourant n'était pas de nature à empêcher celui-ci de procéder à la vérification des décomptes litigieux, comme il a d'ailleurs pu le faire à plusieurs reprises, à partir de 2019, au moyen de son droit contractuel d'audit. Quand bien même des erreurs de calcul auraient été détectées par le recourant, cela ne signifie pas encore qu'elles résulteraient d'une tromperie astucieuse, faute pour les parties d'avoir spécifié au préalable, dans leurs contrats, la manière de calculer les redevances dues, un désaccord subsistant entre elles sur la prise en compte ou non des sorties de stock des canaux de distribution "service" et "prêts". Faute de tromperie astucieuse, les éléments constitutifs de l'infraction d'escroquerie (art. 146 CP) ne sont ainsi pas réunis et c'est à bon droit que le Ministère public a refusé d'entrer en matière sur cette infraction.</w:t>
      </w:r>
    </w:p>
    <w:p>
      <w:r>
        <w:t>- 14/17 - P/7261/2023</w:t>
      </w:r>
    </w:p>
    <w:p>
      <w:r>
        <w:rPr>
          <w:b/>
        </w:rPr>
        <w:t>E. 3.5.2</w:t>
      </w:r>
    </w:p>
    <w:p>
      <w:r>
        <w:t>Même à retenir la réalisation des éléments constitutifs de l'escroquerie, sous forme de l'inscription alléguée, dans les relevés communiqués au recourant, de ventes déguisées en location ou en services, l'existence d'un for de poursuite pénale en Suisse ferait défaut. En effet, lesdits relevés servant de fondement au calcul des redevances dues au recourant, le simple versement de celles-ci – qui est subséquent – n'est qu'un effet réflexe de cette "tromperie" (pour autant qu'elle soit établie) sur les obligations contractuelles de la mise en cause. Or, aucun élément constitutif de l'escroquerie ne se serait déroulé en Suisse, étant relevé que le recourant – qui n'a produit que des extraits de son agenda et de courriels en vue de fixer des rendez-vous – n'a pas établi que ses rencontres en Suisse avec certains représentants de la mise en cause étaient liées à la question des redevances dues ou que ce serait à leur occasion que des décomptes erronés lui auraient été présentés. Il en découle que le seul lien de rattachement avec la Suisse est l'omission de verser une somme d'argent sur un compte bancaire dans ce pays, lien que le Tribunal fédéral, dans son arrêt de renvoi, qualifie lui-même de "particulièrement ténu". Or, même à retenir que ladite omission constitue un élément objectif de l'infraction d'escroquerie, un tel rattachement est, selon la doctrine susvisée, insuffisant pour fonder la compétence des autorités pénales suisses, dès lors que le lieu de la non-exécution – qui constitue le "résultat" de l'infraction présumée – se trouverait au siège de la société de la mise en cause, et non à l'endroit où ladite non-exécution a produit ses effets. Au contraire du principe de l'ubiquité absolue, celui de l'ubiquité relative, applicable en droit pénal suisse, exige en effet que l'un des éléments constitutifs objectifs de l'infraction ait été exécuté en Suisse, la survenance, dans ce pays, d'effets au sens large étant insuffisante. 3.6.1. Sous l'angle de la gestion déloyale, il est établi que B______, sur la base des contrats de licence conclus avec le recourant, vendait les appareils médicaux, établissait les décomptes des ventes effectuées, puis déterminait les sommes dues au recourant à ce titre. Ladite société ainsi que ses organes et employés sont ainsi susceptibles de revêtir la qualité de gérant au sens de l'art. 158 ch. 1 CP. Dans ce contexte, un large octroi de prêts, voire la qualification délibérément erronée de location ou de services, pourraient constituer une violation de l'éventuel devoir de gestion découlant du contrat de licence conclu entre les parties, ayant entrainé un dommage sous la forme d'un gain manqué ou d'une non-augmentation de l'actif. Cela étant, l'infraction précitée implique encore que la mise en cause ait eu conscience de nuire aux intérêts du recourant. Or, comme expliqué ci-avant, les parties n'ont pas spécifié, dans les contrats qu'elles ont conclus, les bases de calcul des redevances dues à celui-ci, ce qui est de nature à exclure la réalisation de l'infraction à l'art. 158 ch. 1 CP. 3.6.2. Même à retenir l'hypothèse de la réalisation de cette infraction, la compétence des autorités pénales suisses pour la poursuivre ferait défaut. En effet, les actes caractérisant l'éventuelle violation d'un devoir de gestion se sont produits à C______, en Allemagne, ce qui correspond au lieu où la société B______</w:t>
      </w:r>
    </w:p>
    <w:p>
      <w:r>
        <w:t>- 15/17 - P/7261/2023 est gérée de manière effective et a son siège. C'est en effet à cet endroit qu'ont été établis les décomptes litigieux et calculées les redevances dues au recourant. C'est également au siège de cette société que des sorties de stock à hauteur, selon l'auditeur, de 6'214 endoscopes et de 8'111 autres instruments sont intervenues pour la période de 2009 à 2019, sans mention dans les décomptes des ventes. Ainsi, les actes reprochés, qui ont eu lieu en Allemagne, ne permettent pas de retenir l'existence d'un for pénal en Suisse. Par ailleurs, l'omission de verser, depuis l'Allemagne, des sommes sur un compte bancaire en Suisse en application du contrat de licence liant les parties est, au vu des développements sous chiffre 3.5.2 supra, insuffisante pour constituer un rattachement avec la Suisse au sens de l'art. 8 CP, y compris sous l'angle de la gestion déloyale qualifiée.</w:t>
      </w:r>
    </w:p>
    <w:p>
      <w:r>
        <w:rPr>
          <w:b/>
        </w:rPr>
        <w:t>E. 4</w:t>
      </w:r>
    </w:p>
    <w:p>
      <w:r>
        <w:t>Au vu de ce qui précède, l'ordonnance querellée sera confirmée par substitution de motifs, dans la mesure où, même si les éléments constitutifs des infractions d'escroquerie et de gestion déloyale étaient réunis, il existerait un empêchement de procéder (art. 310 al. 1 let. b CPP), faute de compétence des autorités pénales suisses. Les actes d'instruction sollicités par le recourant ne sont pas de nature à modifier ce constat. Partant, le recours sera rejeté.</w:t>
      </w:r>
    </w:p>
    <w:p>
      <w:r>
        <w:rPr>
          <w:b/>
        </w:rPr>
        <w:t>E. 5</w:t>
      </w:r>
    </w:p>
    <w:p>
      <w:r>
        <w:t>Le recourant, qui succombe, supportera les frais envers l'État, fixés en totalité à CHF 2'000.- pour l'instance de recours (art. 428 al. 1 CPP et 13 al. 1 du Règlement fixant le tarif des frais en matière pénale, RTFMP ; E 4 10.03), lesquels seront prélevés sur les sûretés versées. * * * * *</w:t>
      </w:r>
    </w:p>
    <w:p>
      <w:r>
        <w:t>- 16/17 - P/7261/2023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