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ACPR/1091/2025 vom 10. September 2025</w:t>
      </w:r>
    </w:p>
    <w:p>
      <w:r>
        <w:t>GE Cour de justice, 2025-09-10, FR</w:t>
      </w:r>
    </w:p>
    <w:p>
      <w:r>
        <w:rPr>
          <w:b/>
        </w:rPr>
        <w:t xml:space="preserve">Quelle: </w:t>
      </w:r>
      <w:r>
        <w:t>https://mcp.opencaselaw.ch/entscheid/ge_gerichte_ACPR_1091_2025</w:t>
      </w:r>
    </w:p>
    <w:p>
      <w:r>
        <w:t>FR: GE_GERICHTE ACPR/1091/2025 du 10 septembre 2025</w:t>
      </w:r>
    </w:p>
    <w:p>
      <w:r>
        <w:t>IT: GE_GERICHTE ACPR/1091/2025 del 10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ne remet pas en cause l'ordonnance querellée en tant qu'elle concerne le chef de diffamation (art. 173 CP), dès lors qu'aucun argument visant à démontrer la réalisation de cette infraction n'est développé. Il n'y sera par conséquent pas revenu (art. 385 al. 1 let. a CPP).</w:t>
      </w:r>
    </w:p>
    <w:p>
      <w:r>
        <w:rPr>
          <w:b/>
        </w:rPr>
        <w:t>E. 3</w:t>
      </w:r>
    </w:p>
    <w:p>
      <w:r>
        <w:t>Le recourant reproche au Ministère public d'avoir refusé d'entrer en matière sur sa plainte pour violation de domicile.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w:t>
      </w:r>
    </w:p>
    <w:p>
      <w:r>
        <w:t>- 5/8 - P/20386/2025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3.2.1. 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3.2.2. Selon cette disposition,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w:t>
      </w:r>
    </w:p>
    <w:p>
      <w:r>
        <w:rPr>
          <w:b/>
        </w:rPr>
        <w:t>E. 3.3</w:t>
      </w:r>
    </w:p>
    <w:p>
      <w:r>
        <w:t>À teneur de l'art.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violation de domicile n'est punissable que si elle est commise intentionnellement. L'intention comprend la conscience du fait que l'on pénètre ou que l'on demeure contre la volonté de l'ayant droit (A. MACALUSO / L. MOREILLON / N. QUELOZ (éds), Commentaire romand, Code pénal II, vol. II, Partie spéciale : art. 111-392 CP, 2ème éd., Bâle 2025, n. 44 ad art. 186 CP), mais il faut encore que l'auteur veuille ou accepte de le faire sans droit (arrêt du Tribunal fédéral 6B_1056/2013 du 20 août 2014 consid. 2.1). Le dol éventuel suffit (ATF 108 IV 40 consid. 5c). 3.4.1. En l'espèce, le recourant reproche aux mis en cause d'être entrés, le 5 juin 2025, dans la chambre qu'il occupait en tant que locataire, sans préavis ni autorisation. Il allègue n'avoir pris connaissance de cette intrusion que le 8 suivant, par le message WhatsApp qui lui a été adressé le même jour par C______. Sa plainte, datée du</w:t>
      </w:r>
    </w:p>
    <w:p>
      <w:r>
        <w:rPr>
          <w:b/>
        </w:rPr>
        <w:t>E. 8</w:t>
      </w:r>
    </w:p>
    <w:p>
      <w:r>
        <w:t>septembre 2025, apparaît ainsi avoir été déposée dans le délai prévu par l'art. 31 CP. 3.4.2. Il ressort, certes, du dossier, que les collaborateurs de la Fondation B______ se sont introduits dans la chambre louée par le recourant sans l'avoir préalablement averti de leur passage et en son absence. Cela étant, ils invoquent avoir commis une erreur,</w:t>
      </w:r>
    </w:p>
    <w:p>
      <w:r>
        <w:t>- 6/8 - P/20386/2025 croyant que l'intéressé avait été informé de leur visite, et déplorent un problème de communication à cet égard. Ils ont exposé avoir pour pratique de n'accéder aux espaces privés qu'en présence des occupants et après avoir annoncé leur passage, à l'exception des situations d'urgence. Dans ce cadre, ils soutiennent être ainsi entrés dans la pièce concernée en toute bonne foi, dans le seul dessein d'établir un inventaire du mobilier de la fondation, en vue de la restitution prochaine des locaux. Dans ces circonstances, aucune volonté de pénétrer sans droit dans la chambre du recourant ne peut être décelée chez les mis en cause. Il ne paraît ainsi guère possible de leur prêter une intention délictuelle, et la violation de domicile par négligence n'est pas réprimée (cf. ACPR/330/2022 consid. 2.4). Il s'ensuit que les conditions constitutives de l'infraction de violation de domicile (art. 186 CP) ne sont pas réunies, de sorte que le Ministère public était fondé à ne pas entrer en matière sur cette infraction. 4. Justifiée, l'ordonnance querellée sera donc confirmée. 5. Le recourant, qui succombe, supportera les frais envers l'État, qui seront fixés en totalité à CHF 1'000.- (art. 428 al. 1 CPP et 13 al. 1 du Règlement fixant le tarif des frais en matière pénale, RTFMP ; E 4 10.03), et prélevés sur les sûretés versées. * * * * *</w:t>
      </w:r>
    </w:p>
    <w:p>
      <w:r>
        <w:t>- 7/8 - P/20386/2025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