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ACPR/1082/2025 vom 13. November 2025</w:t>
      </w:r>
    </w:p>
    <w:p>
      <w:r>
        <w:t>GE Cour de justice, 2025-11-13, FR</w:t>
      </w:r>
    </w:p>
    <w:p>
      <w:r>
        <w:rPr>
          <w:b/>
        </w:rPr>
        <w:t xml:space="preserve">Quelle: </w:t>
      </w:r>
      <w:r>
        <w:t>https://mcp.opencaselaw.ch/entscheid/ge_gerichte_ACPR_1082_2025</w:t>
      </w:r>
    </w:p>
    <w:p>
      <w:r>
        <w:t>FR: GE_GERICHTE ACPR/1082/2025 du 13 novembre 2025</w:t>
      </w:r>
    </w:p>
    <w:p>
      <w:r>
        <w:t>IT: GE_GERICHTE ACPR/1082/2025 del 13 novembre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- 6/10 - P/25760/2025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L'établissement d'un profil d'ADN est de nature à porter atteinte au droit à la liberté personnelle (art. 10 al. 2 Cst.) et à la protection contre l'emploi abusif de données privées (art. 13 al. 2 Cst. et 8 CEDH). Cette mesure doit, en conséquence, se fonder sur une base légale, être justifiée par un intérêt public et être proportionnée au but visé (ATF 147 I 372 consid. 2.3.3 ; arrêt du Tribunal fédéral 1B_631/2022 du 14 février 2023 consid. 2).</w:t>
      </w:r>
    </w:p>
    <w:p>
      <w:r>
        <w:rPr>
          <w:b/>
        </w:rPr>
        <w:t>E. 3.2</w:t>
      </w:r>
    </w:p>
    <w:p>
      <w:r>
        <w:t>Selon l'art. 255 al. 1bis CPP, le prélèvement et l'établissement d'un profil d'ADN peuvent être ordonnés sur le prévenu si des indices concrets laissent présumer qu'il pourrait avoir commis d'autres crimes ou délits que celui ou ceux pour lesquels l'instruction est en cours. Une telle mesure peut être ordonnée par le ministère public durant l'instruction (ATF 141 IV 87 consid. 1.3.2).</w:t>
      </w:r>
    </w:p>
    <w:p>
      <w:r>
        <w:rPr>
          <w:b/>
        </w:rPr>
        <w:t>E. 3.3</w:t>
      </w:r>
    </w:p>
    <w:p>
      <w:r>
        <w:t>L'établissement d'un profil d'ADN destiné à élucider des crimes ou délits passés/futurs n'est proportionné que s'il existe des indices sérieux et concrets que le prévenu pourrait être impliqué dans d'autres infractions. Celles-ci doivent revêtir une certaine gravité (ATF 147 I 372 consid. 4.2). L'on prendra en considération, dans la pesée des intérêts à réaliser, les éventuels antécédents de l'intéressé (ATF 145 IV 263 consid. 3.4; arrêts du Tribunal fédéral 1B_230/2022 du 7 septembre 2022 consid. 2.2).</w:t>
      </w:r>
    </w:p>
    <w:p>
      <w:r>
        <w:rPr>
          <w:b/>
        </w:rPr>
        <w:t>E. 3.4</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145 IV 263 consid. 3.4; arrêt du Tribunal fédéral 1B_230/2022 du 7 septembre 2022 consid. 2.2).</w:t>
      </w:r>
    </w:p>
    <w:p>
      <w:r>
        <w:rPr>
          <w:b/>
        </w:rPr>
        <w:t>E. 3.5</w:t>
      </w:r>
    </w:p>
    <w:p>
      <w:r>
        <w:t>Selon l'art. 353 al. 1 let. fbis CPP, l’ordonnance pénale contient le délai d’effacement d’un profil d’ADN éventuellement existant.</w:t>
      </w:r>
    </w:p>
    <w:p>
      <w:r>
        <w:rPr>
          <w:b/>
        </w:rPr>
        <w:t>E. 3.6</w:t>
      </w:r>
    </w:p>
    <w:p>
      <w:r>
        <w:t>En l'espèce, l'établissement du profil d'ADN du recourant a été ordonné pour élucider, non pas les infractions en cours d'instruction, mais d'autres actes contraires à la LStup, dès lors que le recourant a déjà été soupçonné pour des faits similaires.</w:t>
      </w:r>
    </w:p>
    <w:p>
      <w:r>
        <w:t>- 7/10 - P/25760/2025 Dans son recours, le recourant ne prétend pas que les conditions de l’art. 255 al. 1bis CPP ne seraient pas réalisées, au vu de ses précédentes condamnations pour délits à la LStup. Il soutient en revanche que la mesure serait disproportionnée car il aurait déjà fait l’objet d’établissements de son profil d’ADN lors de ses précédentes arrestations. Or, il ne paraît ni arbitraire ni contraire au principe de la proportionnalité que chaque arrestation d’un prévenu puisse donner lieu à l’établissement d’un profil d’ADN, si les conditions de l’art. 255 CPP sont remplies – ce qui est le cas ici –. La Chambre de céans est en effet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n'interviendrait que dans dix ou vingt ans. Le recourant soutient que le nouvel établissement de son profil d’ADN détournerait l’art. 17 de la loi sur les profils d’ADN, mais la Chambre de céans ne partage pas cette opinion. Cette disposition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par la police – étant rappelé qu'il a été trouvé en train de dormir au sol dans le hall de l'aéroport et a admis être sans ressources régulières – d’avoir commis de nouvelles infractions pour lesquelles l’établissement d’un profil d’ADN est</w:t>
      </w:r>
    </w:p>
    <w:p>
      <w:r>
        <w:t>- 8/10 - P/25760/2025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Il s'ensuit que l'ordonnance querellée ne prête pas le flanc à la critique, les réquisits pour le prononcé de l'établissement du profil d'ADN du recourant étant réunis. Enfin, le délai d'effacement du profil d'ADN n'a pas à être mentionné expressément dans l'ordonnance d'établissement d'un tel profil, mais dans l'ordonnance pénale (ou le jugement) faisant suite à cette mesure (cf. art. 353 al. 1 let. fbis CPP). En effet, selon l'issue de la procédure, l'intérêt public à disposer du profil d'ADN de l'intéressé ne sera pas le même, de sorte qu'il appartient au juge du fond de trancher cette question. Partant, la mesure, qui repose sur une base légale et dictée par un intérêt public, est justifiée.</w:t>
      </w:r>
    </w:p>
    <w:p>
      <w:r>
        <w:rPr>
          <w:b/>
        </w:rPr>
        <w:t>E. 4</w:t>
      </w:r>
    </w:p>
    <w:p>
      <w:r>
        <w:t>Il s'ensuit que le recours doit être rejeté.</w:t>
      </w:r>
    </w:p>
    <w:p>
      <w:r>
        <w:rPr>
          <w:b/>
        </w:rPr>
        <w:t>E. 5</w:t>
      </w:r>
    </w:p>
    <w:p>
      <w:r>
        <w:t>Le recourant, qui succombe, supportera les frais envers l'État, fixés en totalité à CHF 600.- (art. 428 al. 1 CPP et 13 al. 1 du Règlement fixant le tarif des frais en matière pénale, RTFMP ; E 4 10.03). * * * * *</w:t>
      </w:r>
    </w:p>
    <w:p>
      <w:r>
        <w:t>- 9/10 - P/25760/2025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