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ACPR/1081/2025 vom 26. November 2025</w:t>
      </w:r>
    </w:p>
    <w:p>
      <w:r>
        <w:t>GE Cour de justice, 2025-11-26, FR</w:t>
      </w:r>
    </w:p>
    <w:p>
      <w:r>
        <w:rPr>
          <w:b/>
        </w:rPr>
        <w:t xml:space="preserve">Quelle: </w:t>
      </w:r>
      <w:r>
        <w:t>https://mcp.opencaselaw.ch/entscheid/ge_gerichte_ACPR_1081_2025</w:t>
      </w:r>
    </w:p>
    <w:p>
      <w:r>
        <w:t>FR: GE_GERICHTE ACPR/1081/2025 du 26 novembre 2025</w:t>
      </w:r>
    </w:p>
    <w:p>
      <w:r>
        <w:t>IT: GE_GERICHTE ACPR/1081/2025 del 26 novembre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w:t>
      </w:r>
    </w:p>
    <w:p>
      <w:r>
        <w:t>- 5/10 - P/26857/2025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par jugement du 10 avril 2025, pour délit contre la loi sur les stupéfiants (art. 19 al. 1 let. c et d LStup), soit en lien avec des agissements qui dépassent le stade de la simple consommation personnelle. Cette condamnation à la LStup va de pair avec des reproches répétés de situation irrégulière en Suisse. En effet, dans le cadre du jugement précité, il a également été condamné pour non-respect d'une assignation à un lieu de résidence ou d'une interdiction de pénétrer dans une région déterminée (art. 119 al. 1 LEI), entrée illégale (art. 115 al. 1 let. a LEI), séjour illégal (art. 115 al. 1 let. b LEI), obtention illicite de prestations d'une assurance sociale ou de l'aide sociale (art. 148a al. 1 CP), recel par métier (art. 160 ch. 2 CP) et consommation de stupéfiants (art. 19a ch. 1 LStup). Il a une nouvelle fois été condamné, par ordonnance pénale du 20 novembre 2025,</w:t>
      </w:r>
    </w:p>
    <w:p>
      <w:r>
        <w:t>- 6/10 - P/26857/2025 actuellement frappée d'une opposition (P/26357/2025), pour rupture de ban (art. 291 al. 1 CP), non-respect d'une assignation à un lieu de résidence ou d'une interdiction de pénétrer dans une région déterminée (art. 119 al. 1 LEI) et infraction à l'art. 19a ch. 1 LStup. Il est enfin poursuivi, dans le cadre de la présente procédure, pour rupture de ban (art. 291 al. 1 CP) et non-respect d'une assignation à un lieu de résidence ou d'une interdiction de pénétrer dans une région déterminée (art. 119 al. 1 LEI), Ces éléments laissent craindre un ancrage dans la délinquance liée aux stupéfiants et permettent de penser que l'intéressé pourrait être, quoiqu’il en dise,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- 7/10 - P/26857/2025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ordonnance contre laquelle le recourant a d’ailleurs formé opposition.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L'indemnité du défenseur d'office sera fixée à la fin de la procédure (art. 135 al. 2 CPP). * * * * *</w:t>
      </w:r>
    </w:p>
    <w:p>
      <w:r>
        <w:t>- 9/10 - P/26857/2025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