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ACPR/1076/2025 vom 1. Dezember 2025</w:t>
      </w:r>
    </w:p>
    <w:p>
      <w:r>
        <w:t>GE Cour de justice, 2025-12-01, FR</w:t>
      </w:r>
    </w:p>
    <w:p>
      <w:r>
        <w:rPr>
          <w:b/>
        </w:rPr>
        <w:t xml:space="preserve">Quelle: </w:t>
      </w:r>
      <w:r>
        <w:t>https://mcp.opencaselaw.ch/entscheid/ge_gerichte_ACPR_1076_2025</w:t>
      </w:r>
    </w:p>
    <w:p>
      <w:r>
        <w:t>FR: GE_GERICHTE ACPR/1076/2025 du 1 décembre 2025</w:t>
      </w:r>
    </w:p>
    <w:p>
      <w:r>
        <w:t>IT: GE_GERICHTE ACPR/1076/2025 del 1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conseil du recourant invoque une violation du droit d'être entendu de son mandant.</w:t>
      </w:r>
    </w:p>
    <w:p>
      <w:r>
        <w:rPr>
          <w:b/>
        </w:rPr>
        <w:t>E. 2.1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w:t>
      </w:r>
    </w:p>
    <w:p>
      <w:r>
        <w:rPr>
          <w:b/>
        </w:rPr>
        <w:t>E. 2.2</w:t>
      </w:r>
    </w:p>
    <w:p>
      <w:r>
        <w:t>En l'espèce, il n'apparaît pas que la motivation du premier juge sur les éléments topiques soit déficiente. En tout état, la Chambre de céans dispose d'un plein pouvoir de cognition et le recourant a pu à nouveau faire valoir ses moyens ici, de sorte qu'une éventuelle violation de son droit d'être entendu serait, quoi qu'il en soit, considérée comme étant réparée. Partant, ce grief sera rejeté.</w:t>
      </w:r>
    </w:p>
    <w:p>
      <w:r>
        <w:rPr>
          <w:b/>
        </w:rPr>
        <w:t>E. 3</w:t>
      </w:r>
    </w:p>
    <w:p>
      <w:r>
        <w:t>Dans son recours rédigé en personne, le recourant conteste les charges retenues à son encontre.</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w:t>
      </w:r>
    </w:p>
    <w:p>
      <w:r>
        <w:t>- 9/13 - P/19344/2025 examiner s'il existe des indices sérieux de culpabilité justifiant une telle mesure (ATF 143 IV 330 consid. 2.1; 143 IV 316 consid. 3.1 et 3.2).</w:t>
      </w:r>
    </w:p>
    <w:p>
      <w:r>
        <w:rPr>
          <w:b/>
        </w:rPr>
        <w:t>E. 3.2</w:t>
      </w:r>
    </w:p>
    <w:p>
      <w:r>
        <w:t>En l'espèce, les infractions reprochées au recourant sont sans conteste graves, au vu de leur qualification juridique. Nonobstant les dénégations du recourant s'agissant des faits du 11 août 2025, elle reposent, s'agissant de ces évènements, sur les déclarations du lésé, sur la présence de son ADN sur le couteau ayant servi à l'attaque, sur les déclarations des deux témoins entendus, qui excluent tous deux la présence d'une tierce personne ayant tenté de séparé les protagonistes, et enfin sur les images de vidéosurveillance, prises avant et peu après les faits, sur lesquelles le recourant se reconnait, y compris avec la main ensanglantée. Partant, ce grief sera rejeté.</w:t>
      </w:r>
    </w:p>
    <w:p>
      <w:r>
        <w:rPr>
          <w:b/>
        </w:rPr>
        <w:t>E. 4</w:t>
      </w:r>
    </w:p>
    <w:p>
      <w:r>
        <w:t>Le recourant conteste, dans son recours expédié le 2 décembre 2025,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comme relevé par le TMC et le Ministère public, le recourant est de nationalité française. Toute sa famille vit en France, pays qui n'extrade pas ses ressortissants. Il n'a somme toute que peu d'attaches en Suisse où il ne semble venir que dans le but d'y consommer des stupéfiants, hormis un emploi – non documenté – de livreur par le biais d'une application de livraison. Le fait qu'il ait été mis au bénéfice de mesures de substitution dans le cadre de la procédure pénale P/25567/2024 n'y change rien, l'ordonnance y relative ayant précisément retenu l'existence d'un risque de fuite déjà qualifié de concret. Il l'est d'autant plus désormais, au vu des nouveaux faits, sans conteste graves, qui lui sont reprochés. Là encore, le grief soulevé sera rejeté.</w:t>
      </w:r>
    </w:p>
    <w:p>
      <w:r>
        <w:rPr>
          <w:b/>
        </w:rPr>
        <w:t>E. 5</w:t>
      </w:r>
    </w:p>
    <w:p>
      <w:r>
        <w:t>Tant le recourant que son conseil contestent l'existence d'un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- 10/13 - P/19344/2025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le recourant conteste l'essentiel des faits qui lui sont reprochés. Il apparaît qu'il connaît tant C______ que G______, qu'il côtoyait aux abords du E______ [espace de consommation]. Il a par ailleurs affirmé qu'il se trouvait en compagnie de J______ le 2 septembre 2025 lorsqu'il a été interpellé, ce qui mène à penser qu'il connaissait aussi ce dernier. Que les trois précités n'aient pu être localisés par la police ou qu'ils aient refusé de se présenter aux audiences où ils étaient convoqués ne permet pas encore de retenir que le recourant n'aurait pas les moyens, par de tierces personnes ou par les moyens de communication modernes, d'entrer en contact avec eux. Il importe pourtant qu'il ne puisse, jusqu'à l'audience de jugement, interférer avec la manifestation de la vérité. C'est donc à juste titre que le TMC a retenu l'existence d'un risque de collusion.</w:t>
      </w:r>
    </w:p>
    <w:p>
      <w:r>
        <w:rPr>
          <w:b/>
        </w:rPr>
        <w:t>E. 6</w:t>
      </w:r>
    </w:p>
    <w:p>
      <w:r>
        <w:t>Le recourant ne conteste pas, ni dans son recours manuscrit, ni dans celui déposé le</w:t>
      </w:r>
    </w:p>
    <w:p>
      <w:r>
        <w:rPr>
          <w:b/>
        </w:rPr>
        <w:t>E. 9</w:t>
      </w:r>
    </w:p>
    <w:p>
      <w:r>
        <w:t>Enfin, on ne discerne aucune violation du principe de la célérité, au vu des actes d’instruction effectués et ceux annoncés, soit l'avis de prochaine clôture, l'administration des preuves encore possiblement requises, y compris par le recourant, ainsi que la rédaction d'un acte d'accusation.</w:t>
      </w:r>
    </w:p>
    <w:p>
      <w:r>
        <w:rPr>
          <w:b/>
        </w:rPr>
        <w:t>E. 10</w:t>
      </w:r>
    </w:p>
    <w:p>
      <w:r>
        <w:t>Quant aux griefs soulevés, au stade de la réplique, à l'encontre de l'ordonnance de jonction, ils sont exorbitants à la présente cause.</w:t>
      </w:r>
    </w:p>
    <w:p>
      <w:r>
        <w:rPr>
          <w:b/>
        </w:rPr>
        <w:t>E. 11</w:t>
      </w:r>
    </w:p>
    <w:p>
      <w:r>
        <w:t>Le recours s'avère ainsi infondé et doit être rejeté.</w:t>
      </w:r>
    </w:p>
    <w:p>
      <w:r>
        <w:rPr>
          <w:b/>
        </w:rPr>
        <w:t>E. 12</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13</w:t>
      </w:r>
    </w:p>
    <w:p>
      <w:r>
        <w:t>Le recourant plaide au bénéfice d'une défense d'office. En l'occurrence, quand bien même le recourant succombe, on peut admettre que l'exercice du présent recours ne procède pas d'un abus. L'indemnité du défenseur d'office sera fixée à la fin de la procédure (art. 135 al. 2 CPP). * * * * *</w:t>
      </w:r>
    </w:p>
    <w:p>
      <w:r>
        <w:t>- 12/13 - P/19344/2025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