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ACPR/1074/2025 vom 30. Oktober 2025</w:t>
      </w:r>
    </w:p>
    <w:p>
      <w:r>
        <w:t>GE Cour de justice, 2025-10-30, FR</w:t>
      </w:r>
    </w:p>
    <w:p>
      <w:r>
        <w:rPr>
          <w:b/>
        </w:rPr>
        <w:t xml:space="preserve">Quelle: </w:t>
      </w:r>
      <w:r>
        <w:t>https://mcp.opencaselaw.ch/entscheid/ge_gerichte_ACPR_1074_2025</w:t>
      </w:r>
    </w:p>
    <w:p>
      <w:r>
        <w:t>FR: GE_GERICHTE ACPR/1074/2025 du 30 octobre 2025</w:t>
      </w:r>
    </w:p>
    <w:p>
      <w:r>
        <w:t>IT: GE_GERICHTE ACPR/1074/2025 del 30 ottobre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avoir accédé à sa demande de changement d'avocat.</w:t>
      </w:r>
    </w:p>
    <w:p>
      <w:r>
        <w:rPr>
          <w:b/>
        </w:rPr>
        <w:t>E. 3.1</w:t>
      </w:r>
    </w:p>
    <w:p>
      <w:r>
        <w:t>Selon l'art. 133 CPP, le défenseur d'office est désigné par la direction de la procédure au stade considéré (al. 1); le choix du défenseur tient compte des aptitudes de celui-ci et, dans la mesure du possible, des souhaits du prévenu (al. 2). Cette disposition concrétise la jurisprudence du Tribunal fédéral et de la CourEDH relative aux art. 29 al. 3 Cst. et 6 § 3 let. c CEDH (arrêt du Tribunal fédéral 1B_387/2012 du 24 janvier 2013 consid. 4.3).</w:t>
      </w:r>
    </w:p>
    <w:p>
      <w:r>
        <w:rPr>
          <w:b/>
        </w:rPr>
        <w:t>E. 3.2</w:t>
      </w:r>
    </w:p>
    <w:p>
      <w:r>
        <w:t>Une demande de remplacement du défenseur d'office ne peut être admise que si, pour des motifs objectifs, une défense compétente et efficace des intérêts du prévenu n'est plus garantie (ATF 116 Ia 102 consid. 4b/aa). Que la personne bénéficiaire n'apprécie pas son avocat ou doute de ses capacités ne suffit pas (B. CORBOZ, Le droit constitutionnel à l'assistance judiciaire, in SJ 2003 II p. 84). L'art 134 al. 2 CPP précise à ce propos qu'une défense compétente et efficace ne peut plus être assurée non seulement en cas de violation objective du devoir d'assistance, mais déjà en cas de perturbation grave de la relation de confiance entre le prévenu et le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1B_375/2012 du 15 août 2012 consid. 1.1).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simplement à endosser le rôle de porte-parole sans esprit critique de l'accusé, qui se limiterait à se faire l'interprète des sentiments et des arguments de son client (ATF 116 Ia 102 consid. 4b/bb; 105 Ia 296</w:t>
      </w:r>
    </w:p>
    <w:p>
      <w:r>
        <w:t>- 7/10 - P/29252/2024 consid. 1e).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 C. PERRIER DEPEURSINGE (éds), Commentaire romand : Code de procédure pénale suisse, 2e éd., Bâle 2019, n. 17 ad art. 134).</w:t>
      </w:r>
    </w:p>
    <w:p>
      <w:r>
        <w:rPr>
          <w:b/>
        </w:rPr>
        <w:t>E. 3.3</w:t>
      </w:r>
    </w:p>
    <w:p>
      <w:r>
        <w:t>En l'espèce, le recourant soutient pour la première fois, dans son recours, avoir demandé que Me B______ l'assistât lors de l'audience de police seulement de manière provisoire, dès lors qu'il souhaitait en réalité un autre avocat et que le précité lui aurait assuré qu'un changement d'avocat serait ensuite possible. Bien que ces allégations ne reposent sur aucun élément tangible, le recourant oublie qu'en matière de défense d'office prise en charge par l'État, une défense provisoire n'est pas possible, un prévenu ne pouvant, à sa guise, choisir d'être assisté par un avocat puis un autre. Le recourant soutient également avoir perdu confiance en Me B______ lors de son audition par la police, le 8 mai 2025, lorsque l'audience avait été suspendue par les inspecteurs [et non par l'avocat] pour déterminer si le précité pouvait continuer à le défendre, en raison de leurs liens antérieurs. Le recourant expose qu'après cette suspension d'audition, la défense n'aurait plus été la même. Cette allégation n'est toutefois pas confirmée par le procès-verbal d'audition, dont il résulte, au contraire, que l'avocat a été actif durant toute la suite de l'audition, intervenant pour poser des questions. L'avocat a, par ailleurs, assisté le recourant à toutes les audiences ultérieures devant le Ministère public, sauf une où il a dû se faire excuser. Le Ministère public retient en outre que Me B______ avait adressé de nombreuses demandes, lesquelles avaient été régulièrement acceptées, et posait de nombreuses questions lors des audiences. Le sentiment du recourant, purement subjectif, selon lequel il ne serait pas correctement défendu n'est donc corroboré par aucun élément de la procédure. Le recourant soutient que l'avocat ne lui aurait pas transmis une copie du dossier, malgré sa requête et ne serait pas souvent disponible pour lui. Il ne s'agit toutefois là, le cas échéant, que de contretemps. Il critique également l'absence d'accord sur la stratégie de défense. Or, de simples divergences d'opinions dans la manière d'assurer la défense du prévenu ne constituent pas un motif justifiant un changement d'avocat. La mission de ce dernier ne se limite pas à se faire l'interprète des sentiments et des arguments de son client. Ainsi, que la stratégie de défense de l'avocat d'office ne plaise pas au prévenu n'est pas de nature à gravement perturber la relation de confiance entre eux. Le recourant estime aussi qu'il ne serait pas à même [à bien le comprendre], en raison de la perte de confiance, de communiquer à son défenseur des secrets en lien avec la procédure et qu'il serait préférable qu'il soit assisté d'un avocat n'ayant aucun lien avec la communauté sudaméricaine. Les réticences du recourant sont toutefois purement subjectives et l'on ne distingue pas pour quelles raisons son défenseur ne serait pas digne de confiance pour recevoir "des secrets". De plus, le recourant, qui a choisi en premier lieu Me B______, n'expose pas pour quelle raison, les éventuels "liens" – dont</w:t>
      </w:r>
    </w:p>
    <w:p>
      <w:r>
        <w:t>- 8/10 - P/29252/2024 on ignore la nature – de ce dernier avec la communauté sudaméricaine l'entraverait dans la défense de ses intérêts. Le recourant estime également que le fait que son avocat ne l'aurait pas informé de la tenue de l'audience du 21 octobre 2025 serait de nature à rompre le lien de confiance. Le recourant n'a toutefois pas été cité à comparaître à cette audience, à laquelle sa présence n'était pas nécessaire. Bien qu'il eût été préférable que son avocat lui transmette copie de l'avis d'audience, cette omission est sans incidence et le recourant ne soutient d'ailleurs pas, alors qu'il a accès au procès-verbal, que son absence à l'audience, ou celle de son conseil, lui aurait été dommageable. Il ne s'agit pas d'un motif de révocation. En définitive, aucun élément au dossier ne laisse entrevoir que la défense souffrirait d'une inaction de l'avocat ou d'une grave perturbation de la relation de confiance. Au contraire, les motifs avancés par le recourant sont purement subjectifs. De manière objective, on ne relève aucune faute du défenseur dans l'exercice de sa mission. Au regard des conditions strictes posées par l'art. 134 al. 2 CPP, le changement du défenseur d'office désigné ne se justifie donc pas.</w:t>
      </w:r>
    </w:p>
    <w:p>
      <w:r>
        <w:rPr>
          <w:b/>
        </w:rPr>
        <w:t>E. 4</w:t>
      </w:r>
    </w:p>
    <w:p>
      <w:r>
        <w:t>Infondé, le recours doit donc être rejeté.</w:t>
      </w:r>
    </w:p>
    <w:p>
      <w:r>
        <w:rPr>
          <w:b/>
        </w:rPr>
        <w:t>E. 5</w:t>
      </w:r>
    </w:p>
    <w:p>
      <w:r>
        <w:t>Le recourant, qui succombe, supportera les frais envers l'État, qui comprendront un émolument de CHF 600.-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- 9/10 - P/29252/2024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