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ACPR/106/2020 vom 7. Februar 2020</w:t>
      </w:r>
    </w:p>
    <w:p>
      <w:r>
        <w:t>GE Cour de justice, 2020-02-07, FR</w:t>
      </w:r>
    </w:p>
    <w:p>
      <w:r>
        <w:rPr>
          <w:b/>
        </w:rPr>
        <w:t xml:space="preserve">Quelle: </w:t>
      </w:r>
      <w:r>
        <w:t>https://mcp.opencaselaw.ch/entscheid/ge_gerichte_ACPR_106_2020</w:t>
      </w:r>
    </w:p>
    <w:p>
      <w:r>
        <w:t>FR: GE_GERICHTE ACPR/106/2020 du 7 février 2020</w:t>
      </w:r>
    </w:p>
    <w:p>
      <w:r>
        <w:t>IT: GE_GERICHTE ACPR/106/2020 del 7 febbraio 2020</w:t>
      </w:r>
    </w:p>
    <w:p>
      <w:pPr>
        <w:pStyle w:val="Heading2"/>
      </w:pPr>
      <w:r>
        <w:t>Erwägungen</w:t>
      </w:r>
    </w:p>
    <w:p>
      <w:r>
        <w:rPr>
          <w:b/>
        </w:rPr>
        <w:t>E. 30</w:t>
      </w:r>
    </w:p>
    <w:p>
      <w:r>
        <w:t>mars 2018. D. a. À l'appui de ses recours et réplique, A______ dénonce, tout d'abord, l'illégalité des mesures de surveillance "d'origine", soit celles ordonnées à l'encontre de B______ et C______ ainsi que D______, à défaut, pour lesdites mesures, tant de reposer sur l'existence de soupçons suffisants de la commission d'infractions par les intéressées, prémisse pourtant nécessaire à leur prononcé, que d'avoir été valablement ordonnées s'agissant de C______, au vu des diverses irrégularités énoncées à la lettre B.d.b supra. Les découvertes fortuites qui en découlaient étaient donc inexploitables. De surcroît, le TMC ne semblait pas avoir autorisé l'exploitation desdites découvertes, aucune suite n'ayant été donnée à la demande formulée en ce sens par le Ministère public le 22 juin 2018 (cf. lettre B.d.e ci-dessus). En tout état, rien ne permettait d'inférer sa participation aux brigandages de 2014 et 2016, respectivement la commission des autres infractions qui lui étaient reprochées, singulièrement celles aux art. 189/190 CP; seules les déclarations de F______ et/ou G______ l'incriminaient, données qui étaient toutefois objectivement insuffisantes. L'illicéité des informations recueillies à son sujet lors des conversations aux parloirs devait donc être constatée. b. Invité à se déterminer, le TMC renonce à formuler des observations et maintient les termes de ses ordonnances. c. Pour sa part, le Ministère public conclut au rejet du recours comme étant mal fondé. EN DROIT : 1. 1.1. Le recours, déposé selon la forme et dans le délai prescrits (art. 385 al. 1 et 396 al. 1 CPP), émane du prévenu, qui est partie à la procédure (art. 104 al. 1 let. a CPP). 1.2. Seule la licéité des mesures de surveillance secrètes en elle-même peut être contestée auprès de la Chambre de céans (art. 281 al. 4 cum 279 al. 3 et 393 CPP), et non la communication (ultérieure) de leur mise en œuvre au sens de l'art. 279 al. 1 CPP, celle-ci étant uniquement destinée à informer les personnes concernées des modalités et durée desdites mesures (qui ont d'ores et déjà été exécutées), respectivement de la possibilité de recourir contre elles (ACPR/71/2019 du 22 janvier 2019, consid. 2).</w:t>
      </w:r>
    </w:p>
    <w:p>
      <w:r>
        <w:t>- 9/14 - P/25/2016 Le recours est donc irrecevable en tant qu'il porte sur le prononcé numéro 1) visé à la lettre A supra. 1.3. Une conclusion identique s'impose pour les décisions référencées sous 2), le recourant n'étant pas légitimé (art. 382 CPP) à contester la légalité des mesures de surveillance ordonnées à l'encontre de tiers, y compris celles à l'origine des découvertes fortuites le concernant ("Grundüberwachung"; ATF 140 IV 40 consid. 4.1 et 4.2; T. HANSJAKOB, Überwachungsrecht der Schweiz, Kommentar zu Art. 269 ff. StPO und zum BÜPF, Zürich 2018, n. 1128 ad art. 278 ainsi que n. 1253 et 1291-1293 ad art. 279). 1.4. Il en va de même de l'ordonnance visée au point 3), celle-ci se rapportant exclusivement à la fratrie F______/G______ et à N______ (OTMC/2653/2018 rendue en lien avec le brigandage de 2014). 1.5. L'acte n'est donc recevable que dans la mesure où il porte sur les prononcés objets du chiffre 4), respectivement sur le caractère (in)exploitable des informations recueillies au sujet du recourant lors de la surveillance des parloirs. 2. Le prévenu estime qu'aucune des données obtenues au cours de cette surveillance ne peut lui être opposée. À cet effet, il conteste, dans un premier grief, l'existence d'une décision du TMC autorisant l'exploitation des découvertes fortuites.</w:t>
      </w:r>
    </w:p>
    <w:p>
      <w:r>
        <w:t>2.1. L'on parle de telles découvertes lorsque, à l'occasion d'une surveillance préalablement ordonnée – par exemple, l'écoute et l'enregistrement de conversations non publiques (art. 280 let. a CPP) –, l'autorité découvre des auteurs et/ou infractions qui lui étaient inconnu(e)s au moment où elle a prononcé la mesure (art. 281 al. 4 cum 278 al. 1 et al. 2 CPP). Dans ces circonstances, une nouvelle procédure de surveillance doit être engagée (art. 278 al. 3 CPP), celle accomplie initialement ne s'étendant pas aux informations fortuitement recueillies (arrêt du Tribunal fédéral 6B_605/2018 du 28 septembre 2018 consid. 1.1 et les références citées). Le ministère public doit alors immédiatement ordonner la surveillance des nouvelles infractions/personnes – cette étape n'est toutefois nécessaire que s'il souhaite étendre la mesure en cours à celles-ci (A. KUHN / Y. JEANNERET (éds), Commentaire romand : Code de procédure pénale suisse, Bâle 2011, n. 9 ad art. 310) –, puis engager, dans les 24 heures, la procédure d'autorisation auprès du tribunal des mesures de contrainte (art. 274 al. 1 CPP). L'absence d'une telle demande d'autorisation entraîne l'inexploitabilité des découvertes fortuites (art. 141 al. 1, 2ème phrase, cum 277 al. 2 CPP; ATF 144 IV 254 consid. 1.4.3; arrêt du Tribunal fédéral 6B_605/2018 du 28 septembre 2018 consid. 1.1).</w:t>
      </w:r>
    </w:p>
    <w:p>
      <w:r>
        <w:t>2.2 En l'espèce, il est acquis que les données afférentes à l'éventuelle commission, par le recourant, de certaines infractions – soit le braquage de 2016 ainsi que celles relatives aux art. 305 et s./189 et s. CP [le brigandage de 2014 sera abordé au point 2.3] –, données qui ont été recueillies lors de conversations ayant eu lieu entre les 30</w:t>
      </w:r>
    </w:p>
    <w:p>
      <w:r>
        <w:t>- 10/14 - P/25/2016 mars et 8 juin 2018, sont des découvertes fortuites. En effet, aucune d'elles n'était visée par les ordonnances du TMC autorisant, puis prolongeant, la surveillance aux parloirs, circonscrite aux potentiels agissements de B______ et C______ ainsi que D______.</w:t>
      </w:r>
    </w:p>
    <w:p>
      <w:r>
        <w:t>Si l'on ignore les raisons pour lesquelles le TMC semble ne pas avoir donné suite à la demande d'exploitation de ces découvertes formée le 22 juin 2018 par le Procureur, ce dernier n'en a pas moins réengagé une procédure de surveillance (art. 278 al. 3 CPP) le 16 juillet suivant, qui a abouti, le 20 du même mois, au prononcé des deux ordonnances litigieuses autorisant l'utilisation des faits nouveaux (OTMC/2652/2018 rendue dans la P/3______/2018, relative à B______ et C______, ainsi qu'OTMC/2650/2018 prononcée dans la P/4______/2018, afférente à D______).</w:t>
      </w:r>
    </w:p>
    <w:p>
      <w:r>
        <w:t>Certes, les actes rédigés le 16 juillet 2018 par le Ministère public à l'intention du TMC, dans la P/3______/2018, désignaient uniquement, dans leur préambule, B______ en qualité de prévenue, et non C______ (cf. lettre B.d.f). L'on ne saurait toutefois en déduire que la demande d'autorisation d'exploitation ne portait pas également sur les échanges entre cette dernière et ses deux frères. En effet, la référence, dans la motivation desdits actes, aux ordonnances préalablement rendues par le TMC, laissait clairement entendre qu'ils s'inscrivaient dans la continuité de la mesure initialement ordonnée; ainsi, la décision rendue par le TMC le 28 mai 2018 (cf. lettre B.d.b) citait expressément les deux prénommées; quant à l'ordonnance du 3 avril précédent, si elle nommait uniquement B______ dans ses préambule et dispositif, ses considérants se référaient toutefois sans ambiguïté aux deux intéressées. Pour ces raisons, l'autorisation d'exploitation du TMC du 20 juillet 2018 portait sur les données recueillies lors de la surveillance des deux prévenues. Par surabondance, l'on relèvera que la sœur des détenus a quasiment toujours été accompagnée, aux parloirs, de sa mère et/ou sa cousine – lesquelles ont été régulièrement désignées dans les actes des Procureur et TMC, de sorte que l'enregistrement et l'exploitation des conversations auxquelles elles ont participé sont valables –, à deux exceptions, occurrences au cours desquelles les discussions n'ont nullement porté sur le recourant (cf. lettre B.d.i); dans ces circonstances, le caractère éventuellement (in)utilisable des informations recueillies à ces deux dernières occasions, est irrelevant. Il s'ensuit que les réquisits formels, nécessaires pour l'utilisation des découvertes fortuites à l'encontre du prévenu, ont été respectés s'agissant des infractions énoncées en tête du présent considérant.</w:t>
      </w:r>
    </w:p>
    <w:p>
      <w:r>
        <w:t>2.3. Tel n'est, en revanche, pas le cas pour la prétendue participation du recourant au brigandage du 29 août 2014.</w:t>
      </w:r>
    </w:p>
    <w:p>
      <w:r>
        <w:t>En effet, les conversations y relatives se sont déroulées postérieurement au 20 juillet 2018. Or, aucune nouvelle procédure n'a été engagée, pour l'exploitation de cette nouvelle infraction, après cette date – la situation diffère, ainsi, de celle qui a prévalu</w:t>
      </w:r>
    </w:p>
    <w:p>
      <w:r>
        <w:t>- 11/14 - P/25/2016 pour les frères B______ et N______, le Procureur ayant accompli les démarches idoines les concernant peu après avoir fortuitement appris leur implication dans ce braquage (OTMC/2653/2018; cf. lettre B.d.f) –.</w:t>
      </w:r>
    </w:p>
    <w:p>
      <w:r>
        <w:t>Aussi, les informations obtenues – lors des discussions enregistrées à la prison – s'agissant de l'implication alléguée du recourant dans le hold-up de 2014, l'ont été illicitement. Elles ne peuvent donc être exploitées. Dite illicéité sera constatée dans le dispositif du présent arrêt. La destruction des enregistrements et documents litigieux n'a, en revanche, pas lieu d'être – l'art. 278 al. 4 CPP stipule, en effet, que les éléments qui ne peuvent être utilisés au titre de découvertes fortuites doivent être conservés séparément et détruits immédiatement après la clôture de la procédure –, ce d'autant qu'ils comprennent des données exploitables à l'encontre d'autres prévenus. 3. Le recourant conteste, dans un second grief, que les conditions pour autoriser l'exploitation des découvertes fortuites objets du considérant 2.2 supra, soient réunies.</w:t>
      </w:r>
    </w:p>
    <w:p>
      <w:r>
        <w:t>3.1. En cas de découvertes fortuites, les informations recueillies peuvent être utilisées, lorsqu'une mesure de surveillance aurait pu être ordonnée aux fins de la poursuite des nouveaux actes/auteurs (art. 278 al. 1 et al. 2 cum 281 al. 4 CPP). Il convient donc de procéder à un examen a posteriori des conditions de l'art. 269 CPP (arrêt du Tribunal fédéral 6B_605/2018 précité). Seules les infractions visées par le catalogue exhaustif de l'art. 269 al. 2 CPP peuvent justifier une mesure de surveillance; parmi celles-ci figurent les art. 140 (brigandage), 183 (séquestration), 189 (contrainte sexuelle), 190 (viol), 305 (entrave à l'action pénale) et 305bis al. 2 (blanchiment d'argent aggravé) CP. En vertu de l'art. 269 al. 1 let. a CPP, de graves soupçons doivent laisser présumer la commission de l'une ou plusieurs de ces infractions. Le juge n'a pas à procéder à une pesée complète des éléments à charge et à décharge, mais uniquement à examiner, si, au vu des éléments qui figuraient au dossier à l'époque concernée – y compris des découvertes fortuites (arrêt du Tribunal fédéral 6B_228/2018 du 22 août 2018 consid. 1.1) –, il existait des indices sérieux de culpabilité justifiant la mesure requise. L'intensité des charges propres à motiver la mesure n'est pas la même aux divers stades de l'instruction. Ainsi, dans les premiers temps de l'enquête, des soupçons encore peu précis peuvent être suffisants. Tel n'est cependant pas le cas de vagues suspicions ne se fondant sur aucun motif objectif. En outre, les charges doivent être objectivement fondées et vérifiables (arrêt du Tribunal fédéral 1B_450/2017 du 29 mars 2018 consid. 4.1). Le juge peut, notamment, s'appuyer sur les déclarations de témoins et de parties; il ne faut toutefois pas perdre de vue que de telles déclarations peuvent manquer d'objectivité; dès lors, la seule affirmation, sans indication de source ou sans avoir le caractère spécifique de témoignage, n'est en</w:t>
      </w:r>
    </w:p>
    <w:p>
      <w:r>
        <w:t>- 12/14 - P/25/2016 principe pas suffisante. Il en va de même de simples spéculations, de rumeurs ou de suppositions générales (ATF 142 IV 289 consid. 2.2.2 in fine et 2.2.3). 3.2. L'art. 140 CP réprime le comportement de celui qui aura commis un vol en usant de violence à l’égard d’une personne, en la menaçant d’un danger imminent pour la vie ou l’intégrité corporelle ou en la mettant hors d’état de résister. La peine est aggravée si l'auteur s'est muni d'une arme dangereuse ou s'il a agi en qualité d'affilié à une bande formée pour commettre de tels actes. Le brigandage peut, dans certaines circonstances, entrer en concours avec l'art. 183 CP (M. DUPUIS/ L. MOREILLON/ C. PIGUET/ S. BERGER/ M. MAZOU/ V. RODIGARI (éds), Code pénal - Petit commentaire, 2e éd., Bâle 2017, n. 43 ad art. 140). L'art. 305 CP punit, entre autres agissements, l'individu qui détruit ou dissimule des moyens de preuve, respectivement le receleur qui cache le butin dans l'optique de soustraire l'auteur d'une l'infraction à la poursuite pénale (M. DUPUIS/ L. MOREILLON/ C. PIGUET/ S. BERGER/ M. MAZOU/ V. RODIGARI (éds), op. cit., n. 18 et 40 ad art. 305). Commet une infraction contre l'intégrité sexuelle celui qui, en usant de menace ou de violence, en exerçant sur sa victime des pressions d’ordre psychique ou en la mettant hors d’état de résister, l'aura contrainte à subir l’acte sexuel (art. 190 CP), un acte analogue à l’acte sexuel ou un autre acte d’ordre sexuel (art. 189 CP). 3.3. En l'espèce, il convient de déterminer si, le 20 juillet 2018, date à laquelle le TMC a autorisé l'exploitation des découvertes fortuites litigieuses, il existait des soupçons suffisants de la participation du recourant au braquage de 2016, respectivement de la dissimulation, par ses soins, des armes dérobées à cette occasion [les infractions aux art. 189 et s. CP seront traitées au considérant 3.4 ci- après]. L'intéressé a été mis en cause à ces égards par les deux détenus, lors des conversations retranscrites à la lettre B.d.c supra. Or, ces derniers pouvaient être considérés, en été 2018, comme étant (très vraisemblablement) les co-auteurs du hold-up de 2016 – F______ admettait alors son implication et G______ était reconnaissable sur les images de vidéosurveillance –. Ils étaient donc les mieux à même de désigner leur(s) comparse(s). Les prénommés sont, de surcroît, demeurés constants dans leurs révélations, qu'ils ont faites spontanément, puisqu'ils ne se savaient pas écoutés. Par ailleurs, rien ne permet d'attribuer auxdites révélations un caractère revanchard, comme semble le suggérer le recourant à la police. Au contraire, les détenus, en taisant aux autorités le nom des participants au brigandage, ont cherché à le protéger. De même, l'on ne conçoit pas que, si F______ avait menti en déclarant à la police/au Ministère public que le recourant savait où se trouvaient les armes, il aurait persisté dans cette thèse dans les discussions – supposément privées – qu'il a eues avec ses proches.</w:t>
      </w:r>
    </w:p>
    <w:p>
      <w:r>
        <w:t>- 13/14 - P/25/2016 Replacées dans ce contexte, les révélations des frères B______ apparaissent objectivement crédibles, de sorte qu'elles ne peuvent être assimilées à de simples spéculations et/ou affirmations empreintes de subjectivité. À cela s'ajoute que le recourant avait des liens avec la famille B______, qu'il était en possession, en avril 2017, d'un holster appartenant à l'un des auteurs suspectés d'avoir participé au braquage et qu'il évoquait, dans un message du 6 février 2018, le vidage d'un coffre ayant possiblement pu contenir le butin. Il existait donc, en juillet 2018 – soit à un stade relativement peu avant avancé de l'instruction, les premiers auteurs (potentiels) du hold-up ayant été interpellés en décembre 2017 seulement – des indices suffisamment sérieux de la participation du recourant au braquage de 2016, respectivement de la dissimulation, par ses soins, des armes dérobées à cette occasion. De tels faits étant susceptibles d'être réprimés par les art. 140 et/ou 305 CP, soit deux des infractions énumérées à l'art. 269 al. 2 CPP, point n'est besoin d'examiner s'ils tombent également sous le coup des art. 183 et 305bis al. 2 CP. Au regard de ces éléments, l'autorisation délivrée par le TMC le 20 juillet 2018 d'exploiter les informations relatives aux agissements susvisés, recueillies lors de la surveillance des conversations aux parloirs, est exempte de critique. 3.4. Tel n'est, en revanche, pas le cas pour les données afférentes aux prétendus actes, commis par le recourant, contre l'intégrité sexuelle de D______. En effet, l'on ignorait, en été 2018, au vu de la teneur des deux dernières conversations retranscrites à la lettre B.d.c supra – seuls éléments qui figuraient alors au dossier –, les agissements que le recourant aurait perpétrés au préjudice de la prénommée, celle-ci n'en faisant nullement état. Quant à l'emploi du mot "violeur", au demeurant par une autre personne que la victime (i.e. par F______), il est, à lui seul, insuffisant pour retenir l'existence d'un soupçon un tant soit peu précis d'infraction(s) aux art. 189 et s. CP. Dans ces circonstances, l'autorisation d'exploiter les informations recueillies à cet égard lors de la surveillance des conversations aux parloirs ne pouvait être accordée; l'OTMC/2650/2018 sera donc annulée, dans cette mesure uniquement. Les données litigieuses ayant été obtenues illicitement – point que la Chambre de céans constatera dans le dispositif du présent arrêt –, elles ne seront pas opposables au recourant. 4. Le recours étant partiellement admis, les frais de la procédure seront laissés à la charge de l'État (art. 428 al. 1 CPP). 5. Il n'y a pas lieu d'indemniser, à ce stade (cf. art. 135 al. 2 CPP), le défenseur d'office, la procédure n'étant pas terminée. * * * * *</w:t>
      </w:r>
    </w:p>
    <w:p>
      <w:r>
        <w:t>- 14/14 - P/25/2016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