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ACPR/105/2020 vom 25. November 2019</w:t>
      </w:r>
    </w:p>
    <w:p>
      <w:r>
        <w:t>GE Cour de justice, 2019-11-25, FR</w:t>
      </w:r>
    </w:p>
    <w:p>
      <w:r>
        <w:rPr>
          <w:b/>
        </w:rPr>
        <w:t xml:space="preserve">Quelle: </w:t>
      </w:r>
      <w:r>
        <w:t>https://mcp.opencaselaw.ch/entscheid/ge_gerichte_ACPR_105_2020</w:t>
      </w:r>
    </w:p>
    <w:p>
      <w:r>
        <w:t>FR: GE_GERICHTE ACPR/105/2020 du 25 novembre 2019</w:t>
      </w:r>
    </w:p>
    <w:p>
      <w:r>
        <w:t>IT: GE_GERICHTE ACPR/105/2020 del 25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de céans jouit d'un plein pouvoir de cognition en droit, en fait et en opportunité (art. 393 al. 2 CPP) (ATF 137 I 195 consid. 2.3.2 p. 197; arrêt du Tribunal fédéral 1B_524/2012 du 15 novembre 2012 consid. 2.1).</w:t>
      </w:r>
    </w:p>
    <w:p>
      <w:r>
        <w:t>- 4/8 - P/19876/2019</w:t>
      </w:r>
    </w:p>
    <w:p>
      <w:r>
        <w:rPr>
          <w:b/>
        </w:rPr>
        <w:t>E. 4</w:t>
      </w:r>
    </w:p>
    <w:p>
      <w:r>
        <w:t>La Chambre pénale de recours peut décider d'emblée de traiter sans échange d'écritures ni débats les recours manifestement mal fondés (art. 390 al. 2 et</w:t>
      </w:r>
    </w:p>
    <w:p>
      <w:r>
        <w:rPr>
          <w:b/>
        </w:rPr>
        <w:t>E. 5</w:t>
      </w:r>
    </w:p>
    <w:p>
      <w:r>
        <w:t>La recourante conteste la validité de la notification fictive de l'ordonnance pénale.</w:t>
      </w:r>
    </w:p>
    <w:p>
      <w:r>
        <w:rPr>
          <w:b/>
        </w:rPr>
        <w:t>E. 5.1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du Tribunal fédéral 6B_271/2018 précité consid. 2.1; 6B_910/2017 précité consid. 2.4 ; 6B_194/2015 du 11 janvier 2016 consid. 1; 6B_848/2013 précité consid. 1.3.2; 6B_368/2012 du 17 août 2012 consid. 2.1 et les références citées; cf. aussi ATF 141 IV 39 consid. 1.5 p. 45 s.).</w:t>
      </w:r>
    </w:p>
    <w:p>
      <w:r>
        <w:rPr>
          <w:b/>
        </w:rPr>
        <w:t>E. 5.2</w:t>
      </w:r>
    </w:p>
    <w:p>
      <w:r>
        <w:t>L'ordonnance pénale est notifiée par écrit aux personnes et aux autorités qui ont qualité pour former opposition (art. 353 al. 3 CPP), soit en particulier le prévenu (art. 354 al. 1 let. a CPP). Le délai d'opposition est de dix jours (art. 354 al. 1 CPP). 5.3.1. 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5.3.2.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p. 602 ;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p. 604). Dans ce contexte, des considérations</w:t>
      </w:r>
    </w:p>
    <w:p>
      <w:r>
        <w:t>- 5/8 - P/19876/2019 purement hypothétiques, selon lesquelles l'envoi aurait été inséré dans la boîte aux lettres du voisin ou d'un tiers, ne sont pas suffisantes (arrêts 8C_482/2018 précité consid. 4.3 ; 9C_90/2015 du 2 juin 2015 consid. 3.2 et les arrêts cités).</w:t>
      </w:r>
    </w:p>
    <w:p>
      <w:r>
        <w:rPr>
          <w:b/>
        </w:rPr>
        <w:t>E. 5.4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w:t>
      </w:r>
    </w:p>
    <w:p>
      <w:r>
        <w:rPr>
          <w:b/>
        </w:rPr>
        <w:t>E. 5.5</w:t>
      </w:r>
    </w:p>
    <w:p>
      <w:r>
        <w:t>En l'espèce, l'ordonnance pénale du 26 juin 2019 a été envoyée par pli recommandé à la recourante, laquelle ne l'a pas retirée à l'échéance du délai de garde. Cette dernière allègue toutefois ne l'avoir pas reçue, expliquant que des erreurs de distribution se seraient déjà produites par le passé. Cependant, force est de constater que les photographies et copies des lettres auxquelles elle renvoie ne suffisent pas à démontrer que l'ordonnance querellée aurait effectivement été déposée dans la boîte aux lettres de ses voisins, qui n'ont pas déclaré l'avoir reçue par erreur ni avoir réceptionné d'avis de retrait qui lui était destiné. Il apparaît dès lors que l'erreur de distribution invoquée par la recourante ne repose que sur une hypothèse, de sorte qu'elle n'est pas rendue vraisemblable. Au surplus, la recourante a reconnu s'attendre à recevoir une décision judiciaire, puisqu'elle se savait impliquée dans un accident de la circulation. Cette décision lui a d'ailleurs été adressée rapidement puisqu'elle l'a été le mois suivant l'accident. Dans ces conditions, il n'y a pas lieu de s'écarter de la date de distribution inscrite dans le suivi des envois recommandés. Partant, la fiction de la notification à l'échéance du délai de garde de l'art. 85 al. 4 let. a CPP lui est opposable. Faute d'avoir été empêchée d'observer le délai légal pour former opposition à l'ordonnance pénale, la question d'une restitution du délai d'opposition, au sens de l'art. 94 CPP, ne se pose pas (arrêt du Tribunal fédéral 6B_1118/2015 du 30 juin 2016 consid. 1.1.). Au vu de ce qui précède, c'est donc à juste titre, et sans formalisme excessif, que le Tribunal de police a constaté que l'opposition du 31 aout 2019 était tardive et n'est pas entré en matière sur le fond. Le recours s'avère ainsi infondé et doit être rejeté.</w:t>
      </w:r>
    </w:p>
    <w:p>
      <w:r>
        <w:t>- 6/8 - P/19876/2019</w:t>
      </w:r>
    </w:p>
    <w:p>
      <w:r>
        <w:rPr>
          <w:b/>
        </w:rPr>
        <w:t>E. 6</w:t>
      </w:r>
    </w:p>
    <w:p>
      <w:r>
        <w:t>Justifiée, l'ordonnance querellée sera donc confirmée.</w:t>
      </w:r>
    </w:p>
    <w:p>
      <w:r>
        <w:rPr>
          <w:b/>
        </w:rPr>
        <w:t>E. 7</w:t>
      </w:r>
    </w:p>
    <w:p>
      <w:r>
        <w:t>La recourante, qui succombe, supportera les frais envers l'État, qui seront fixés en totalité à CHF 900.- (art. 428 al. 1 CPP et 13 al. 1 du Règlement fixant le tarif des frais en matière pénale, RTFMP ; E 4 10.03). * * * * *</w:t>
      </w:r>
    </w:p>
    <w:p>
      <w:r>
        <w:t>- 7/8 - P/19876/2019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