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ACPR/105/2019 vom 14. September 2018</w:t>
      </w:r>
    </w:p>
    <w:p>
      <w:r>
        <w:t>GE Cour de justice, 2018-09-14, FR</w:t>
      </w:r>
    </w:p>
    <w:p>
      <w:r>
        <w:rPr>
          <w:b/>
        </w:rPr>
        <w:t xml:space="preserve">Quelle: </w:t>
      </w:r>
      <w:r>
        <w:t>https://mcp.opencaselaw.ch/entscheid/ge_gerichte_ACPR_105_2019</w:t>
      </w:r>
    </w:p>
    <w:p>
      <w:r>
        <w:t>FR: GE_GERICHTE ACPR/105/2019 du 14 septembre 2018</w:t>
      </w:r>
    </w:p>
    <w:p>
      <w:r>
        <w:t>IT: GE_GERICHTE ACPR/105/2019 del 14 settembre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faits et moyens de preuve nouveaux sont recevables devant l'instance de recours, de sorte que l'ensemble des documents transmis par A______ au Ministère public le 22 octobre 2018, postérieurement à l'échéance du délai de recours, seront admis (arrêts du Tribunal fédéral 1B_768/2012 du 13 janvier 2013 consid. 2.1 ; 1B_332/2013 du 20 décembre 2013 consid. 6.2).</w:t>
      </w:r>
    </w:p>
    <w:p>
      <w:r>
        <w:rPr>
          <w:b/>
        </w:rPr>
        <w:t>E. 4</w:t>
      </w:r>
    </w:p>
    <w:p>
      <w:r>
        <w:t>Le recourant reproche au Ministère public de ne pas être entré en matière concernant l'infraction d'appropriation illégitime, exclusivement.</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w:t>
      </w:r>
    </w:p>
    <w:p>
      <w:r>
        <w:t>- 7/11 - P/4575/2018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 4.2.1. Selon l'art. 137 al. 1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4.2.2. Cette disposition présuppose notamment l'appropriation d'une chose mobilière appartenant à autrui, ainsi qu'un dessein d'enrichissement illégitime de la part de l'auteur (B. CORBOZ, Les infractions en droit suisse, volume I, 3e édition, Berne 2010, nos 9 ss ad art. 137 CP). L'acte d'appropriation signifie tout d'abord que</w:t>
      </w:r>
    </w:p>
    <w:p>
      <w:r>
        <w:t>- 8/11 - P/4575/2018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121 IV 25 consid. 1c; 118 IV 148 consid. 2a). Il n'y a pas d'appropriation si d'emblée l'auteur veut rendre la chose intacte après un acte d'utilisation. Elle intervient cependant sans droit lorsque l'auteur ne peut la justifier par une prétention qui lui soit reconnue par l'ordre juridique (arrêts du Tribunal fédéral 6B_1043/2015 du 9 décembre 2015 consid. 4.2.1 et 6B_395/2015 du 25 novembre 2015 consid. 2.2). 4.2.3. Sur le plan subjectif ensuite, l'auteur doit avoir agi intentionnellement et dans un dessein d'enrichissement illégitime. Par enrichissement, on entend la réalisation d'un dommage, à savoir une lésion au patrimoine de la victime sous la forme d'une diminution de l'actif, d'une augmentation du passif, d'une non-augmentation de l'actif ou d'une non-diminution du passif, mais aussi d'une mise en danger de celui-ci telle qu'elle a pour effet d'en diminuer la valeur du point de vue économique (ATF 121 IV 104 consid. 2c et les références citées ; arrêts du Tribunal fédéral 6B_1043/2015 du</w:t>
      </w:r>
    </w:p>
    <w:p>
      <w:r>
        <w:rPr>
          <w:b/>
        </w:rPr>
        <w:t>E. 4.3</w:t>
      </w:r>
    </w:p>
    <w:p>
      <w:r>
        <w:t>En l'espèce, il est incontesté que les époux sont tous deux copropriétaires du fonds de commerce, inscrits sur le bail à loyer des locaux abritant l'établissement, et ont travaillé ensemble au sein du café-restaurant depuis son ouverture. Le restaurant a été, depuis lors, leur seul moyen de subsistance. Le fait que le recourant soit le seul détenteur de la patente n'y change rien. De par le fonctionnement adopté par le couple, la mise en cause a toujours été impliquée dans l'établissement; il s'agissait donc d'une entreprise commune. La mise en cause peut ainsi disposer des recettes générées par l'établissement, tout comme son époux. Partant, l'on ne peut considérer qu'elle se soit enrichie illégitimement en conservant les paiements en espèces des clients. D'autant qu'elle déclare que l'argent prélevé a été affecté au paiement des charges de l'établissement et du ménage, et qu'elle n'a pas d'autre source de revenu. La question de savoir si elle a conservé une somme plus importante que la part de recettes devant lui revenir sous l'angle des règles sur la société simple voire sous celles régissant le droit matrimonial relève au demeurant exclusivement de la compétence des juridictions civiles. Au regard de ce qui précède, l'on ne voit pas ce que la production par la mise en cause de relevés de comptes bancaires dont elle a fait usage pourrait apporter comme élément probant complémentaire.</w:t>
      </w:r>
    </w:p>
    <w:p>
      <w:r>
        <w:t>- 9/11 - P/4575/2018 Par conséquent, ce grief sera rejeté. 5. Le recourant sollicite qu'il soit ordonné au Ministère public qu'il prononce une mesure d'éloignement au sens de l'art. 237 al. 1 et 2 let. c CPP. 5.1. Conformément aux art. 128 al. 1 let. a LOJ et 393 al. 1 let. a CPP, la Chambre de céans statue sur les recours dirigés contre les décisions non sujettes à appel rendues par le Ministère public. 5.2. Aux termes de l'art. 393 al. 2 CPP, le recours peut être formé pour violation du droit, constatation incomplète ou erronée des faits et inopportunité. 5.3. En l'espèce, cette conclusion, qui n'a pas été rendue non plus en matière de détention provisoire où les mesures de substitution ont leur place, ne fait pas l'objet de la décision querellée et n'entre pas dans les motifs de recevabilité devant la présente instance. La Chambre de céans n'est donc pas compétente. De plus, il est constaté qu'une mesure semblable a déjà été ordonnée à l'encontre de la mise en cause par le Tribunal de première instance. Partant, cette conclusion est irrecevable. 6. Justifiée, l'ordonnance querellée sera donc confirmée. 7. Le recourant, qui succombe, supportera les frais envers l'État, fixés en totalité à CHF 2'000.- (art. 428 al. 1 CPP et 13 al. 1 du Règlement fixant le tarif des frais en matière pénale, RTFMP ; E 4 10.03). * * * * *</w:t>
      </w:r>
    </w:p>
    <w:p>
      <w:r>
        <w:rPr>
          <w:b/>
        </w:rPr>
        <w:t>E. 9</w:t>
      </w:r>
    </w:p>
    <w:p>
      <w:r>
        <w:t>décembre 2015 consid. 4.2.1 et 6B_395/2015 du 25 novembre 2015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