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ACPR/1058/2025 vom 20. November 2025</w:t>
      </w:r>
    </w:p>
    <w:p>
      <w:r>
        <w:t>GE Cour de justice, 2025-11-20, FR</w:t>
      </w:r>
    </w:p>
    <w:p>
      <w:r>
        <w:rPr>
          <w:b/>
        </w:rPr>
        <w:t xml:space="preserve">Quelle: </w:t>
      </w:r>
      <w:r>
        <w:t>https://mcp.opencaselaw.ch/entscheid/ge_gerichte_ACPR_1058_2025</w:t>
      </w:r>
    </w:p>
    <w:p>
      <w:r>
        <w:t>FR: GE_GERICHTE ACPR/1058/2025 du 20 novembre 2025</w:t>
      </w:r>
    </w:p>
    <w:p>
      <w:r>
        <w:t>IT: GE_GERICHTE ACPR/1058/2025 del 20 novembre 2025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novembre 2025, le délai de recours est arrivé à échéance le 5 décembre 2025; - expédié depuis la Bulgarie le 4 décembre 2025 mais parvenu à la Poste suisse le 9 décembre 2025, il est manifestement tardif et, partant, irrecevable, ce que la Chambre de céans pouvait constater, sans échange d'écritures ni débats (art. 390 al. 2 et 5 a contrario CPP);</w:t>
      </w:r>
    </w:p>
    <w:p>
      <w:r>
        <w:t>- 3/5 - P/22948/2025 - lorsqu'un recours est irrecevable, le fond de la contestation n'est pas examiné, et la recourante est considérée n'avoir pas eu gain de cause (art. 428 al. 1 CPP); - les frais, arrêtés à CHF 150.- (art. 13 al. 1 du Règlement fixant le tarif des frais en matière pénale, RTFMP; E 4 10.03), doivent par conséquent être mis à sa charge. * * * * *</w:t>
      </w:r>
    </w:p>
    <w:p>
      <w:r>
        <w:t>- 4/5 - P/22948/2025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