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ACPR/1051/2025 vom 29. Oktober 2025</w:t>
      </w:r>
    </w:p>
    <w:p>
      <w:r>
        <w:t>GE Cour de justice, 2025-10-29, FR</w:t>
      </w:r>
    </w:p>
    <w:p>
      <w:r>
        <w:rPr>
          <w:b/>
        </w:rPr>
        <w:t xml:space="preserve">Quelle: </w:t>
      </w:r>
      <w:r>
        <w:t>https://mcp.opencaselaw.ch/entscheid/ge_gerichte_ACPR_1051_2025</w:t>
      </w:r>
    </w:p>
    <w:p>
      <w:r>
        <w:t>FR: GE_GERICHTE ACPR/1051/2025 du 29 octobre 2025</w:t>
      </w:r>
    </w:p>
    <w:p>
      <w:r>
        <w:t>IT: GE_GERICHTE ACPR/1051/2025 del 29 ottobre 2025</w:t>
      </w:r>
    </w:p>
    <w:p>
      <w:pPr>
        <w:pStyle w:val="Heading2"/>
      </w:pPr>
      <w:r>
        <w:t>Erwägungen</w:t>
      </w:r>
    </w:p>
    <w:p>
      <w:r>
        <w:rPr>
          <w:b/>
        </w:rPr>
        <w:t>E. 1</w:t>
      </w:r>
    </w:p>
    <w:p>
      <w:r>
        <w:t>Le recours est recevable pour avoir été déposé selon la forme et dans le délai prescrits (art. 91 al. 4, 385 al. 1 et 396 al. 1 CPP), concerner une ordonnance sujette à recours auprès de la Chambre de céans (art. 393 al. 1 let. a CPP) et émaner du plaignant qui,</w:t>
      </w:r>
    </w:p>
    <w:p>
      <w:r>
        <w:t>- 5/11 - P/15605/2024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de ne pas être entré en matière sur sa plainte.</w:t>
      </w:r>
    </w:p>
    <w:p>
      <w:r>
        <w:rPr>
          <w:b/>
        </w:rPr>
        <w:t>E. 3.1</w:t>
      </w:r>
    </w:p>
    <w:p>
      <w:r>
        <w:t>À teneur de l'art. 310 al. 1 let. a CPP, le ministère public rend immédiatement une ordonnance de non-entrée en matière s'il ressort de la dénonciation ou du rapport de police que les éléments constitutifs de l'infraction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(arrêt 6B_196/2020 précité; ATF 143 IV 241 consid. 2.2.1; ATF 138 IV 86 consid. 4.1; ATF 137 IV 219 consid. 7).</w:t>
      </w:r>
    </w:p>
    <w:p>
      <w:r>
        <w:rPr>
          <w:b/>
        </w:rPr>
        <w:t>E. 3.2</w:t>
      </w:r>
    </w:p>
    <w:p>
      <w:r>
        <w:t>L'art. 303 ch. 1 CP réprime notamment du chef de dénonciation calomnieuse quiconque dénonce à l'autorité, comme auteur d'un crime ou d'un délit, une personne qu'il sait innocente, en vue de faire ouvrir contre elle une poursuite pénale. L'auteur doit vouloir que son comportement entraîne l'ouverture d'une procédure contre la victime. La dénonciation doit être transmise à une autorité (M. DUPUIS / L. MOREILLON / C. PIGUET / S. BERGER / M. MAZOU / V. RODIGARI, Code pénal - Petit commentaire, 2ème éd., Bâle 2017, n. 12 ad art. 303).</w:t>
      </w:r>
    </w:p>
    <w:p>
      <w:r>
        <w:t>- 6/11 - P/15605/2024 Sur le plan subjectif, l'auteur doit savoir que la personne qu'il dénonce est innocente. Il ne suffit donc pas qu'il ait conscience que ses allégations pourraient être fausses. Il doit savoir que son affirmation est inexacte. Aussi, le dol éventuel ne suffit pas (ATF 136 IV 170 consid. 2.1). 3.3.1. L'art. 173 ch. 1 CP réprime, sur plainte, le comportement de quiconque, en s'adressant à un tiers, accuse une personne ou jette sur elle le soupçon de tenir une conduite contraire à l'honneur, ou de tout autre fait propre à porter atteinte à sa considération, ou propage une telle accusation ou un tel soupçon. L'honneur protégé par le droit pénal est conçu de façon générale comme un droit au respect, qui est lésé par toute assertion propre à exposer la personne visée au mépris en sa qualité d'homme (ATF 145 IV 462 consid. 4.2.2; ATF 137 IV 313 consid. 2.1.1; ATF 132 IV 112 consid. 2.1). Pour déterminer si une déclaration est attentatoire à l’honneur, il ne faut pas se fonder sur le sens que lui donne la personne visée, mais sur une interprétation objective selon le sens qu’un destinataire non prévenu, avec des connaissances moyennes, doit, dans les circonstances données, lui attribuer (A. MACALUSO / L. MOREILLON / N. QUELOZ (éds), Commentaire romand, Code pénal II, vol. II, Partie spéciale : art. 111-392 CP, Bâle 2017, n. 33 ad intro. aux art. 173-178). La jurisprudence ne fait cependant pas totalement abstraction du contexte particulier dans lequel des propos ont été tenus pour apprécier leur éventuel caractère attentatoire à l’honneur et elle admet que, selon les circonstances, celui-ci pourra être admis ou ne pas l’être (arrêt du Tribunal fédéral 6B_98/2011 du 24 mars 2011 consid. 4). Le fait d'accuser une personne d'avoir commis un crime ou un délit intentionnel entre dans les prévisions de l'art. 173 ch. 1 CP (ATF 132 IV 112 consid. 2.2 ; 118 IV 248 consid. 2b ; arrêt du Tribunal fédéral 6B_138/2008 du 22 janvier 2009 consid. 3.1). 3.3.2. Conformément à l'art. 173 ch. 2 CP, même si le caractère diffamatoire des propos ou des écrits litigieux est établi, l'inculpé n'encourt aucune peine s'il prouve que les allégations qu'il a articulées ou propagées sont conformes à la vérité ou qu'il avait des raisons sérieuses de les tenir de bonne foi pour vraies. Lorsque la preuve de la bonne foi est apportée, l'accusé doit être acquitté (ATF 119 IV 44 consid. 3). La preuve de la bonne foi se distingue de la preuve de la vérité : il faut se placer au moment de la communication litigieuse et rechercher, en fonction des éléments dont l'auteur disposait à l'époque, s'il avait des raisons sérieuses de tenir de bonne foi pour vrai ce qu'il a dit. Pour échapper à la sanction pénale, le prévenu de bonne foi doit démontrer qu'il a accompli les actes que l'on pouvait exiger de lui, selon les circonstances et sa situation personnelle, pour contrôler la véracité de ses allégations et la considérer comme établie (ATF 116 IV 205 consid. 3; ATF 105 IV 114 consid. 2a). Autrement dit, l'accusé doit prouver qu'il a cru à la véracité de ses</w:t>
      </w:r>
    </w:p>
    <w:p>
      <w:r>
        <w:t>- 7/11 - P/15605/2024 allégations après avoir fait consciencieusement tout ce que l'on pouvait attendre de lui pour s'assurer de leur exactitude. 3.3.3. La défense d'un intérêt légitime allège le devoir de vérification qui incombe à celui qui s'adresse à la police ou à une autre autorité, en sachant que celle-ci va procéder à un contrôle approfondi et dénué de préjugés. Le fait de s'adresser à une autorité pénale ou de surveillance ne confère pas au dénonciateur le droit de porter atteinte à l'honneur d'autrui. Il doit agir de bonne foi et avoir des raisons suffisantes de concevoir les soupçons qu'il communique à cette autorité (ATF 131 IV 154 consid. 1.3; arrêt du Tribunal fédéral 6B_1225/2014 du 18 janvier 2016 consid. 1.2).</w:t>
      </w:r>
    </w:p>
    <w:p>
      <w:r>
        <w:rPr>
          <w:b/>
        </w:rPr>
        <w:t>E. 3.4</w:t>
      </w:r>
    </w:p>
    <w:p>
      <w:r>
        <w:t>La calomnie (art. 174 CP) est une forme qualifiée de diffamation, dont elle se distingue par le fait que les allégations attentatoires à l'honneur sont fausses, que l'auteur a connaissance de la fausseté de ses allégations et qu'il n'y a, dès lors, pas de place pour les preuves libératoires prévues par l'art. 173 CP (arrêt du Tribunal fédéral 6B_1286/2016 du 15 août 2017 consid. 1.2).</w:t>
      </w:r>
    </w:p>
    <w:p>
      <w:r>
        <w:rPr>
          <w:b/>
        </w:rPr>
        <w:t>E. 3.5</w:t>
      </w:r>
    </w:p>
    <w:p>
      <w:r>
        <w:t>La diffamation et la calomnie sont des délits qui ne se poursuivent que sur plainte. Selon l'art. 31 CP – auquel renvoient les art. 173 ch. 1 et 174 ch. 1 CP –, le droit de porter plainte se prescrit par trois mois. Le délai ne commence à courir que lorsque le lésé a connu l'infraction – soit les éléments de fait qui la constituent (ATF 126 IV 131 consid. 4.3) – et l'auteur de celle-ci (ATF 130 IV 97 consid. 2). Cette connaissance doit être suffisante pour permettre à l'ayant droit de considérer qu'il aurait de fortes chances de succès en poursuivant l'auteur, sans s'exposer au risque d'être attaqué pour dénonciation calomnieuse ou diffamation; de simples soupçons ne suffisent pas, mais il n'est pas nécessaire que l'ayant droit dispose déjà de moyens de preuve (ATF 126 IV 131 consid. 2; 121 IV 272 consid. 2a; arrêt 7B_80/2023 du</w:t>
      </w:r>
    </w:p>
    <w:p>
      <w:r>
        <w:rPr>
          <w:b/>
        </w:rPr>
        <w:t>E. 3.6</w:t>
      </w:r>
    </w:p>
    <w:p>
      <w:r>
        <w:t>Aux termes de l'art. 14 CP, quiconque agit comme la loi l'ordonne ou l'autorise se comporte de manière licite, même si l'acte est punissable en vertu du présent code ou d'une autre loi. Des déclarations objectivement attentatoires à l'honneur peuvent toutefois être justifiées par le devoir d'alléguer des faits dans le cadre d'une procédure (ATF 135 IV 177 consid. 4). L'art. 14 CP dispose en effet que celui qui agit comme la loi l'ordonne ou l'autorise se comporte de manière licite, même si l'acte est punissable en vertu du code pénal ou d'une autre loi. La licéité de l'acte est, en tous les cas, subordonnée à la condition qu'il soit proportionné à son but (ATF 107 IV 84</w:t>
      </w:r>
    </w:p>
    <w:p>
      <w:r>
        <w:t>- 8/11 - P/15605/2024 consid. 4; arrêts du Tribunal fédéral 6B_960/2017 du 2 mai 2018 consid. 3.2; 6B_507/2017 du 8 septembre 2017 consid. 3.4). Ainsi, tant la partie que son avocat peuvent se prévaloir de l'art. 14 CP à condition de s'être exprimés de bonne foi, de s'être limités à ce qui est nécessaire et pertinent et d'avoir présenté comme telles de simples suppositions (ATF 131 IV 154 consid. 1.3.1; 123 IV 97 consid. 2c/aa; 118 IV 248 consid. 2c et d; 116 IV 211 consid. 4a; arrêt du Tribunal fédéral 6B_632/2022 du 6 mars 2023 consid. 2.5.1).</w:t>
      </w:r>
    </w:p>
    <w:p>
      <w:r>
        <w:rPr>
          <w:b/>
        </w:rPr>
        <w:t>E. 3.7</w:t>
      </w:r>
    </w:p>
    <w:p>
      <w:r>
        <w:t>En l'espèce, le recourant reproche premièrement au Ministère public d’avoir retenu que les allégations contenues dans la plainte de C______ n’avaient été diffusées qu’à un cercle restreint de personnes, dans le cadre de la procédure pénale, alors qu’elles avaient fait l’objet d’un article dans le journal F______. Il perd cependant de vue que cet article a été publié en août 2024 et qu’il en a pris connaissance avant même sa parution, puisqu’il a pu y exprimer son point de vue, mais a renoncé à déposer plainte dans le délai de trois mois, de sorte qu’il existe un empêchement de procéder s’agissant de ce complexe de faits. Il en va de même de la prétendue transmission de la plainte pénale à E______ [association patronale], puisqu’aucun élément au dossier, mis à part les déclarations du recourant, ne permet de retenir que la plainte pénale aurait effectivement été transmise à son président, ni que le recourant aurait eu connaissance de ce fait en mars 2025 seulement, alors que la plainte avait été déposée près d’un an auparavant et qu’un article qui en reprenait le contenu essentiel avait déjà fait l’objet d’une publication en août 2024. Au contraire, il ressort de la plainte pénale du recourant qu’à la suite des accusations portées contre lui, il avait dû collaborer étroitement avec E______ pour contrôler qu’aucune cotisation n’avait été détournée, durant plus de trois mois, jusqu’au mois de mars 2025. Ainsi, selon toute vraisemblance, c’est avant cette collaboration que le recourant a appris que E______ avait pris connaissance du contenu de la plainte et non fin mars 2025 comme il le soutient, de sorte que sa plainte pénale du 10 avril 2025 est, sur ce point, également tardive. Le litige sera dès lors circonscrit aux propos tenus par C______ dans sa plainte pénale auprès du Ministère public, dont le contenu exact a été porté à la connaissance du recourant lors de son audition par la police le 11 mars 2025. Or, replacés dans leur contexte, les termes dénoncés, bien que portant atteinte à l’honneur du recourant, puisqu’il lui est reproché d’avoir commis des infractions pénales, paraissent néanmoins justifiés sous l'angle de l'art. 14 CP. En effet, il ressort de l’article de journal que d’autres anciens membres de D______ avaient constaté des faits similaires à ceux dénoncés par le mis en cause, de sorte qu’il ne peut être retenu que ce dernier aurait fait preuve de mauvaise foi en interpelant les autorités pénales afin de leur faire part de comportements qui semblaient, selon lui, remplir les conditions d’infractions pénales, étant rappelé, comme l’a soulevé le Ministère public, que leur classement, faute de soupçon suffisant, ne rend pas la dénonciation ipso facto calomnieuse. Le mis en cause s’est, de plus, contenté de relater les faits tels qu'il les</w:t>
      </w:r>
    </w:p>
    <w:p>
      <w:r>
        <w:t>- 9/11 - P/15605/2024 avait vécus et ses allégués, en lien avec l'objet de la plainte, ne peuvent être qualifiés d'inutilement blessants, mais semblent au contraire destinés à protéger des intérêts légitimes. Ceux-ci n’ont de plus pas dépassé ni ce qui était nécessaire à la dénonciation, ni le cercle étroit de personnes tenues au secret professionnel. Partant, les propos litigieux ne peuvent être réprimés par l'art. 173 CP, ni a fortiori par l'art. 174 CP, cette infraction étant une forme qualifiée de diffamation. Il en va de même s'agissant de la dénonciation calomnieuse, puisque, conformément à ce qui précède, aucun élément ne permet de retenir que C______ connaissait l'innocence du recourant. Faute de prévention pénale suffisante, c'est à bon droit que le Ministère public a renoncé à entrer en matière sur les infractions dénoncées. Aucune mesure d'instruction ne paraît être à même de modifier ce constat. 4. Justifiée, la décision querellée sera donc confirmée et le recours rejeté. 5. Le recourant, qui succombe, supportera les frais envers l'État, fixés en totalité à CHF 1'300.- (art. 428 al. 1 CPP et 13 al. 1 du Règlement fixant le tarif des frais en matière pénale, RTFMP ; E 4 10.03).</w:t>
      </w:r>
    </w:p>
    <w:p>
      <w:r>
        <w:rPr>
          <w:b/>
        </w:rPr>
        <w:t>E. 6</w:t>
      </w:r>
    </w:p>
    <w:p>
      <w:r>
        <w:t>Corrélativement, aucun dépens ne lui sera alloué (ATF 144 IV 207, consid. 1.8.2). * * * * *</w:t>
      </w:r>
    </w:p>
    <w:p>
      <w:r>
        <w:t>- 10/11 - P/15605/2024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