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ACPR/104/2023 vom 22. Dezember 2022</w:t>
      </w:r>
    </w:p>
    <w:p>
      <w:r>
        <w:t>GE Cour de justice, 2022-12-22, FR</w:t>
      </w:r>
    </w:p>
    <w:p>
      <w:r>
        <w:rPr>
          <w:b/>
        </w:rPr>
        <w:t xml:space="preserve">Quelle: </w:t>
      </w:r>
      <w:r>
        <w:t>https://mcp.opencaselaw.ch/entscheid/ge_gerichte_ACPR_104_2023</w:t>
      </w:r>
    </w:p>
    <w:p>
      <w:r>
        <w:t>FR: GE_GERICHTE ACPR/104/2023 du 22 décembre 2022</w:t>
      </w:r>
    </w:p>
    <w:p>
      <w:r>
        <w:t>IT: GE_GERICHTE ACPR/104/2023 del 22 dicembre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les faits exposés dans sa plainte du 26 janvier 2022.</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 imposent de renoncer à l'ouverture d'une poursuite pénale (let. c). Ces conditions doivent être interprétées à la lumière de la maxime in dubio pro duriore. Celle-ci découle du principe de la légalité (art. 5 al. 1 Cst. et art. 2 al. 2 CPP en relation avec les art. 319 al. 1 et 324 al. 1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68).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w:t>
      </w:r>
    </w:p>
    <w:p>
      <w:r>
        <w:t>- 5/8 - P/15035/2022 de se prononcer (ATF 143 IV 241 consid. 2.2.1 p. 243; 138 IV 86 consid. 4.1.2 p. 91).</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w:t>
      </w:r>
    </w:p>
    <w:p>
      <w:r>
        <w:rPr>
          <w:b/>
        </w:rPr>
        <w:t>E. 3.3</w:t>
      </w:r>
    </w:p>
    <w:p>
      <w:r>
        <w:t>L'art. 139 CP (vol) punit celui qui, pour se procurer ou procurer à un tiers un enrichissement illégitime, aura soustrait une chose mobilière appartenant à autrui dans le but de se l’approprier.</w:t>
      </w:r>
    </w:p>
    <w:p>
      <w:r>
        <w:rPr>
          <w:b/>
        </w:rPr>
        <w:t>E. 3.4</w:t>
      </w:r>
    </w:p>
    <w:p>
      <w:r>
        <w:t>En l'espèce, une prudence de circonstance s'impose au moment de considérer les déclarations de l'épouse du recourant. Celle-ci a, en effet, tenu un discours contradictoire au cours seule et même audience, accusant alternativement son neveu puis son mari d'avoir volé l'argent. Ce dernier a lui-même admis que la mémoire de sa femme était défaillante. L'état de santé dégradé de celle-ci n'autorise, à lui seul, aucune conclusion. Les autres témoignages recueillis se contredisent entre eux. En particulier, le recourant soutient qu'une boîte verte, contenant les économies, aurait été emportée chez les mis en cause, lesquels contestent que leur sœur/tante aurait amené autre chose que ses affaires personnelles et CHF 1'000.- au plus. À défaut d'éléments objectifs, il est impossible d'accorder une prépondérance à l'une ou l'autre des versions. Les auditions sollicitées par le recourant ne porteraient que sur des faits indirects, comme l'existence de la boîte verte – et donc sans nécessairement révéler quoi que ce soit de son contenu –, la venue de l'épouse du recourant chez les mis en cause ou encore les accusations – déjà entendues et à évaluer avec circonspection – de celle-ci contre ceux-là; mais elles ne semblent pas déterminantes pour l'issue du litige. Par ailleurs, la recherche abstraite du dépôt d'espèces sur les comptes bancaires des mis en cause s'apparente à une "fishing expedition", prohibée. Dans ces circonstances, il n'existe pas de prévention pénale suffisante justifiant d'ouvrir une instruction contre les mis en cause et aucun acte d'enquête n'apparaît</w:t>
      </w:r>
    </w:p>
    <w:p>
      <w:r>
        <w:t>- 6/8 - P/15035/2022 susceptible, en l'état, de retenir l'inverse, étant précisé qu'en cas d'éléments nouveaux, le Ministère public peut reprendre l'instruction aux conditions assouplies de l'art. 323 al. 1 CPP (ATF 144 IV 81 consid. 2.3.5 p. 88).</w:t>
      </w:r>
    </w:p>
    <w:p>
      <w:r>
        <w:rPr>
          <w:b/>
        </w:rPr>
        <w:t>E. 4</w:t>
      </w:r>
    </w:p>
    <w:p>
      <w:r>
        <w:t>Justifiée, l'ordonnance querellée sera donc confirmée.</w:t>
      </w:r>
    </w:p>
    <w:p>
      <w:r>
        <w:rPr>
          <w:b/>
        </w:rPr>
        <w:t>E. 5</w:t>
      </w:r>
    </w:p>
    <w:p>
      <w:r>
        <w:t>Le recourant, qui succombe, supportera les frais envers l'État, fixés en intégralité à CHF 500.- (art. 428 al. 1 CPP et 13 al. 1 du Règlement fixant le tarif des frais en matière pénale, RTFMP ; E 4 10.03). * * * * *</w:t>
      </w:r>
    </w:p>
    <w:p>
      <w:r>
        <w:t>- 7/8 - P/15035/2022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