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ACPR/1040/2025 vom 23. September 2025</w:t>
      </w:r>
    </w:p>
    <w:p>
      <w:r>
        <w:t>GE Cour de justice, 2025-09-23, FR</w:t>
      </w:r>
    </w:p>
    <w:p>
      <w:r>
        <w:rPr>
          <w:b/>
        </w:rPr>
        <w:t xml:space="preserve">Quelle: </w:t>
      </w:r>
      <w:r>
        <w:t>https://mcp.opencaselaw.ch/entscheid/ge_gerichte_ACPR_1040_2025</w:t>
      </w:r>
    </w:p>
    <w:p>
      <w:r>
        <w:t>FR: GE_GERICHTE ACPR/1040/2025 du 23 septembre 2025</w:t>
      </w:r>
    </w:p>
    <w:p>
      <w:r>
        <w:t>IT: GE_GERICHTE ACPR/1040/2025 del 23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- 4/8 - P/21655/2025</w:t>
      </w:r>
    </w:p>
    <w:p>
      <w:r>
        <w:t>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w:t>
      </w:r>
    </w:p>
    <w:p>
      <w:r>
        <w:t>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contraires à</w:t>
      </w:r>
    </w:p>
    <w:p>
      <w:r>
        <w:t>- 5/8 - P/21655/2025 la LStup et à l'art. 186 CP, dès lors qu'il avait déjà été condamné pour des faits similaires.</w:t>
      </w:r>
    </w:p>
    <w:p>
      <w:r>
        <w:t>À cet égard, il existe des indices sérieux et concrets de la commission, par le recourant, de tels actes punissables.</w:t>
      </w:r>
    </w:p>
    <w:p>
      <w:r>
        <w:t>En effet, il a été condamné le 17 mai 2014 notamment pour violation de domicile et infraction à l'art. 19 al. 1 LStup (commission répétée). Cette condamnation est certes ancienne mais figure toujours à son casier judiciaire. Elle va en outre de pair avec des reproches répétés de situation irrégulière en Suisse, le recourant ayant en effet été condamné à cinq reprises pour des infractions à la législation sur les étrangers, entre le 29 mars 2013 et le 3 août 2014. À cela s'ajoutent les circonstances de son arrestation, intervenue alors qu’il faisait apparemment le pied de grue aux environs de la gare, soit dans un quartier notoirement connu pour le trafic de stupéfiants. Ces éléments, ainsi que sa situation personnelle – absence de profession et de revenu – laissent craindre un ancrage dans la délinquance liée aux stupéfiants et permettent de penser que l'intéressé pourrait être impliqué dans d'autres infractions à la LStup, voire à l'art. 186 CP, encore inconnues des autorités, qui pourraient lui être attribuées si l'on était en mesure de comparer son profil d'ADN à des traces prélevées sur les lieux de leur commission.</w:t>
      </w:r>
    </w:p>
    <w:p>
      <w:r>
        <w:t>Quand bien même la motivation du Ministère public à cet égard est succincte, elle apparaît suffisante et le recourant l'a du reste parfaitement comprise puisqu'il a été en mesure de critiquer la décision.</w:t>
      </w:r>
    </w:p>
    <w:p>
      <w:r>
        <w:t>Les éventuelles infractions susceptibles d'être élucidées revêtent également une certaine gravité eu égard à la santé et à la sécurité publiques. Elles sont du reste expressément listées par la Directive A.5 du Procureur général (cf. n. 4.3) qui, bien que n'ayant pas force de loi, est fondée sur l'art. 255 al. 1bis CPP, lequel autorise l'établissement d'un profil d'ADN pour les infractions passées.</w:t>
      </w:r>
    </w:p>
    <w:p>
      <w:r>
        <w:t>Pour le surplus, il ne paraît ni arbitraire ni contraire au principe de la proportionnalité que chaque arrestation d’un prévenu, qui conduit à la condamnation de ce dernier, puisse donner lieu à l’établissement d’un profil d’ADN, si les conditions de l’art. 255 CPP sont remplies – ce qui est le cas ici –.</w:t>
      </w:r>
    </w:p>
    <w:p>
      <w:r>
        <w:t>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w:t>
      </w:r>
    </w:p>
    <w:p>
      <w:r>
        <w:t>- 6/8 - P/21655/2025 délits à la LStup et une infraction à l'art. 186 CP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w:t>
      </w:r>
    </w:p>
    <w:p>
      <w:r>
        <w:t>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w:t>
      </w:r>
    </w:p>
    <w:p>
      <w:r>
        <w:t>Le recourant invoque encore que la mesure décriée entraînerait des frais inutiles. Or, cette question ne se posera qu'à l'issue de la procédure et à la condition que l'intéressé soit condamné. Ainsi, que son coût soit éventuellement mis à sa charge n'est pas pertinent à ce stade.</w:t>
      </w:r>
    </w:p>
    <w:p>
      <w:r>
        <w:t>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w:t>
      </w:r>
    </w:p>
    <w:p>
      <w:r>
        <w:t>Il s'ensuit que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qui seront fixés en totalité à CHF 600.- (art. 428 al. 1 CPP et 13 al. 1 du Règlement fixant le tarif des frais en matière pénale, RTFMP ; E 4 10.03). * * * * *</w:t>
      </w:r>
    </w:p>
    <w:p>
      <w:r>
        <w:t>- 7/8 - P/21655/2025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