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ACPR/102/2026 vom 6. Januar 2026</w:t>
      </w:r>
    </w:p>
    <w:p>
      <w:r>
        <w:t>GE Cour de justice, 2026-01-06, FR</w:t>
      </w:r>
    </w:p>
    <w:p>
      <w:r>
        <w:rPr>
          <w:b/>
        </w:rPr>
        <w:t xml:space="preserve">Quelle: </w:t>
      </w:r>
      <w:r>
        <w:t>https://mcp.opencaselaw.ch/entscheid/ge_gerichte_ACPR_102_2026</w:t>
      </w:r>
    </w:p>
    <w:p>
      <w:r>
        <w:t>FR: GE_GERICHTE ACPR/102/2026 du 6 janvier 2026</w:t>
      </w:r>
    </w:p>
    <w:p>
      <w:r>
        <w:t>IT: GE_GERICHTE ACPR/102/2026 del 6 gennaio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accédé à sa demande de changement d'avocat.</w:t>
      </w:r>
    </w:p>
    <w:p>
      <w:r>
        <w:rPr>
          <w:b/>
        </w:rPr>
        <w:t>E. 3.1</w:t>
      </w:r>
    </w:p>
    <w:p>
      <w:r>
        <w:t>Selon l'art. 133 CPP, le défenseur d'office est désigné par la direction de la procédure au stade considéré (al. 1); le choix du défenseur tient compte des aptitudes de celui-ci et, dans la mesure du possible, des souhaits du prévenu (al. 2). Cette disposition concrétise la jurisprudence du Tribunal fédéral et de la CourEDH relative aux art. 29 al. 3 Cst. et 6 § 3 let. c CEDH (arrêt du Tribunal fédéral 1B_387/2012 du 24 janvier 2013 consid. 4.3).</w:t>
      </w:r>
    </w:p>
    <w:p>
      <w:r>
        <w:rPr>
          <w:b/>
        </w:rPr>
        <w:t>E. 3.2</w:t>
      </w:r>
    </w:p>
    <w:p>
      <w:r>
        <w:t>Une demande de remplacement du défenseur d'office ne peut être admise que si, pour des motifs objectifs, une défense compétente et efficace des intérêts du prévenu n'est plus garantie (ATF 116 Ia 102 consid. 4b/aa). Que la personne bénéficiaire</w:t>
      </w:r>
    </w:p>
    <w:p>
      <w:r>
        <w:t>- 4/7 - P/10882/2024 n'apprécie pas son avocat ou doute de ses capacités ne suffit pas (B. CORBOZ, Le droit constitutionnel à l'assistance judiciaire, in SJ 2003 II p. 84).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Le défenseur d'office doit au contraire examiner d'une manière critique et objective les actes de procédure auxquels le prévenu lui demande de procéder et ne donner suite qu'à ceux qui s'avèrent indispensables dans l'intérêt de son mandant (ATF 126 I 194 consid. 3d; 116 Ia 102 consid. 4b/bb; 105 Ia 296 consid. 1e).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3.3</w:t>
      </w:r>
    </w:p>
    <w:p>
      <w:r>
        <w:t>En l'espèce, le recourant reproche à son défenseur d'office de ne pas l'avoir assisté dans ses demandes de mise en liberté. Conformément aux principes sus-rappelés, l'avocat n'a toutefois pas à engager des démarches qu'il estimerait dépourvues de chances de succès. D'ailleurs, en matière de détention avant jugement, la défense d'office peut être refusée par l'autorité de recours au prévenu en l'absence de chances de succès du recours (arrêt du Tribunal fédéral 1B_516/2020 du 3 novembre 2020 consid. 5.1). Or, les demandes de mise en liberté du recourant ont été rejetées, ainsi que ses recours devant la Chambre de céans et le Tribunal fédéral. On ne saurait donc reprocher à Me B______ d'avoir laissé le recourant agir seul pour ses démarches en lien avec sa détention provisoire. Cette même conclusion s'applique aux demandes d'audition du prévenu devant le TMC. Le recourant reproche également à son défenseur d'aller "bavarder" avec lui en prison plutôt que d'esquisser une stratégie de défense, et de ne pas "militer" pleinement à sa défense. Or, de simples divergences d'opinions dans la manière d'assurer la défense du</w:t>
      </w:r>
    </w:p>
    <w:p>
      <w:r>
        <w:t>- 5/7 - P/10882/2024 prévenu ne constituent pas un motif justifiant un changement d'avocat, ni ne permettent, sans autre élément, de remettre en cause le professionnalisme avec lequel l'avocat d'office a assuré son mandat jusqu'alors. Que la stratégie de défense de Me B______ ne plaise pas au prévenu n'est pas de nature à gravement perturber la relation de confiance entre eux. De plus, la procédure pénale peut connaître certains temps morts, comme pendant la réalisation d'actes d'instruction ou l'expertise psychiatrique, temps durant lequel l'élaboration de la stratégie de défense peut être suspendue dans l'attente du résultat desdits actes de procédure. En définitive, aucun élément au dossier ne laisse entrevoir que la défense souffrirait d'une inaction non justifiée de l'avocat ou d'une grave perturbation de la relation de confiance. Au contraire, les motifs avancés par le recourant sont purement subjectifs. De manière objective, on ne relève aucune faute du défenseur dans l'exercice de sa mission. Au regard des conditions strictes posées par l'art. 134 al. 2 CPP, le changement du défenseur d'office désigné ne se justifie donc pas.</w:t>
      </w:r>
    </w:p>
    <w:p>
      <w:r>
        <w:rPr>
          <w:b/>
        </w:rPr>
        <w:t>E. 4</w:t>
      </w:r>
    </w:p>
    <w:p>
      <w:r>
        <w:t>Infondé, le recours doit donc être rejeté.</w:t>
      </w:r>
    </w:p>
    <w:p>
      <w:r>
        <w:rPr>
          <w:b/>
        </w:rPr>
        <w:t>E. 5</w:t>
      </w:r>
    </w:p>
    <w:p>
      <w:r>
        <w:t>Le recourant, qui succombe, supportera les frais envers l'État, qui comprendront un émolument de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- 6/7 - P/10882/2024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