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ACPR/102/2021 vom 22. Dezember 2020</w:t>
      </w:r>
    </w:p>
    <w:p>
      <w:r>
        <w:t>GE Cour de justice, 2020-12-22, FR</w:t>
      </w:r>
    </w:p>
    <w:p>
      <w:r>
        <w:rPr>
          <w:b/>
        </w:rPr>
        <w:t xml:space="preserve">Quelle: </w:t>
      </w:r>
      <w:r>
        <w:t>https://mcp.opencaselaw.ch/entscheid/ge_gerichte_ACPR_102_2021</w:t>
      </w:r>
    </w:p>
    <w:p>
      <w:r>
        <w:t>FR: GE_GERICHTE ACPR/102/2021 du 22 décembre 2020</w:t>
      </w:r>
    </w:p>
    <w:p>
      <w:r>
        <w:t>IT: GE_GERICHTE ACPR/102/2021 del 22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En tout état de cause, une affaire n'est pas de peu de gravité lorsque le prévenu est passible d'une peine privative de liberté de plus de 4 mois ou d'une peine pécuniaire de plus de 120 jours-amende (art. 132 al. 3 CPP).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w:t>
      </w:r>
    </w:p>
    <w:p>
      <w:r>
        <w:t>- 6/8 - P/10531/2020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2.2</w:t>
      </w:r>
    </w:p>
    <w:p>
      <w:r>
        <w:t>En l'espèce, l'indigence du recourant est admise. Le Ministère public considère que l'affaire n'est pas complexe, au motif que la seule question à laquelle il faudrait répondre serait celle de savoir comment le mégot se serait trouvé sur le lit parental étant précisé que le recourant était seul dans l'appartement, le rapport de police faisant état des conclusions de la BPTS selon lesquelles l'incendie trouvait sa cause dans l'oubli d'un mégot de cigarette sur un matelas. Cependant, le recourant conteste cette origine – et aucune expertise n'a été versée à la procédure – et être l'auteur de l'incendie. Ainsi, déterminer si le recourant serait l'auteur de l'incendie apparaît justifier une instruction lors des débats sur opposition, y compris sur son éventuelle responsabilité pénale. Enfin, les conséquences financières qui découleraient de cette responsabilité seraient importantes. Dès lors que le recourant est poursuivi pour incendie par négligence mais ayant causé quelque CHF 200'000.- de dégâts, on ne saurait qualifier ici la procédure de cas bagatelle. Au vu du contexte, la cause revêt une complexité suffisante, tant en fait qu'en droit, pour justifier le besoin du recourant de bénéficier d'une défense d'office.</w:t>
      </w:r>
    </w:p>
    <w:p>
      <w:r>
        <w:rPr>
          <w:b/>
        </w:rPr>
        <w:t>E. 3</w:t>
      </w:r>
    </w:p>
    <w:p>
      <w:r>
        <w:t>Les conditions pour la désignation d'un défenseur d'office sont donc réalisées.</w:t>
      </w:r>
    </w:p>
    <w:p>
      <w:r>
        <w:rPr>
          <w:b/>
        </w:rPr>
        <w:t>E. 4</w:t>
      </w:r>
    </w:p>
    <w:p>
      <w:r>
        <w:t>Me B______, constitué en faveur du recourant dans la présente procédure, sera désigné en cette qualité dès le 7 octobre 2020, date de la demande au Procureur.</w:t>
      </w:r>
    </w:p>
    <w:p>
      <w:r>
        <w:rPr>
          <w:b/>
        </w:rPr>
        <w:t>E. 5</w:t>
      </w:r>
    </w:p>
    <w:p>
      <w:r>
        <w:t>Fondé, le recours sera dès lors admis et l'ordonnance querellée, annulée.</w:t>
      </w:r>
    </w:p>
    <w:p>
      <w:r>
        <w:rPr>
          <w:b/>
        </w:rPr>
        <w:t>E. 6</w:t>
      </w:r>
    </w:p>
    <w:p>
      <w:r>
        <w:t>Le présent arrêt sera rendu sans frais (art. 20 RAJ).</w:t>
      </w:r>
    </w:p>
    <w:p>
      <w:r>
        <w:rPr>
          <w:b/>
        </w:rPr>
        <w:t>E. 7.1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w:t>
      </w:r>
    </w:p>
    <w:p>
      <w:r>
        <w:t>- 7/8 - P/10531/2020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l'espèce, l'indemnité de CHF 800.- requise apparaît justifiée et sera accordée, augmentée de la TVA à 7.7% [CHF 61.60]. * * * * *</w:t>
      </w:r>
    </w:p>
    <w:p>
      <w:r>
        <w:t>- 8/8 - P/10531/2020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