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ACPR/101/2019 vom 10. Juli 2018</w:t>
      </w:r>
    </w:p>
    <w:p>
      <w:r>
        <w:t>GE Cour de justice, 2018-07-10, FR</w:t>
      </w:r>
    </w:p>
    <w:p>
      <w:r>
        <w:rPr>
          <w:b/>
        </w:rPr>
        <w:t xml:space="preserve">Quelle: </w:t>
      </w:r>
      <w:r>
        <w:t>https://mcp.opencaselaw.ch/entscheid/ge_gerichte_ACPR_101_2019</w:t>
      </w:r>
    </w:p>
    <w:p>
      <w:r>
        <w:t>FR: GE_GERICHTE ACPR/101/2019 du 10 juillet 2018</w:t>
      </w:r>
    </w:p>
    <w:p>
      <w:r>
        <w:t>IT: GE_GERICHTE ACPR/101/2019 del 10 luglio 2018</w:t>
      </w:r>
    </w:p>
    <w:p>
      <w:pPr>
        <w:pStyle w:val="Heading2"/>
      </w:pPr>
      <w:r>
        <w:t>Erwägungen</w:t>
      </w:r>
    </w:p>
    <w:p>
      <w:r>
        <w:rPr>
          <w:b/>
        </w:rPr>
        <w:t>E. 1</w:t>
      </w:r>
    </w:p>
    <w:p>
      <w:r>
        <w:t>L'art. 323 CPP s'applique aux décisions de non-entrée en matière, mais de façon indirecte, en vertu du renvoi prévu par l'art. 310 al. 2 CPP (ATF 144 IV 81 consid. 2.3.2 p. 85). Par conséquent, la décision de refus de reprise de la procédure est sujette à recours lorsqu'elle fait suite à une ordonnance de non-entrée en matière, comme c'est le cas ici (cf. ATF précité consid. 2.4 a contrario; N. SCHMID / D. JOSITSCH, Schweizerische Strafprozessordnung : Praxiskommentar, 3e éd., Zurich 2018, n. 13 ad art. 323). Les autres conditions de recevabilité ne posent pas de problème.</w:t>
      </w:r>
    </w:p>
    <w:p>
      <w:r>
        <w:rPr>
          <w:b/>
        </w:rPr>
        <w:t>E. 2</w:t>
      </w:r>
    </w:p>
    <w:p>
      <w:r>
        <w:t>La Chambre de céans peut décider d'emblée de traiter, sans échange d'écritures ni débats, les recours qui sont manifestement irrecevables ou mal fondés (art. 390 al. 2 et 5 CPP a contrario). Tel est le cas en l'occurrence, au vu des considérations qui suivent.</w:t>
      </w:r>
    </w:p>
    <w:p>
      <w:r>
        <w:rPr>
          <w:b/>
        </w:rPr>
        <w:t>E. 3</w:t>
      </w:r>
    </w:p>
    <w:p>
      <w:r>
        <w:t>Le recourant estime que la vidéo dont il est fait état dans l'ordonnance de classement de la P/1______/2017 est un moyen de preuve nouveau de l'injure proférée par B______.</w:t>
      </w:r>
    </w:p>
    <w:p>
      <w:r>
        <w:rPr>
          <w:b/>
        </w:rPr>
        <w:t>E. 3.1</w:t>
      </w:r>
    </w:p>
    <w:p>
      <w:r>
        <w:t>L'art. 323 al. 1 CPP énonce deux conditions – cumulatives (ATF 141 IV 194 consid. 2.3 p. 197) – qui restreignent le champ d'application de cette forme de révision. Les faits ou moyens de preuve nouveaux doivent "révéler une responsabilité pénale du prévenu", mais aussi ne doivent pas "ressortir du dossier antérieur". Ces deux conditions sont cependant moins sévères après une non-entrée en matière qu'après un classement (ATF 141 IV 194 consid. 2.3 p. 199). Par conséquent, l'ordonnance de non-entrée en matière bénéficie d'une autorité de chose jugée plus limitée encore que celle, déjà réputée restreinte, de l'ordonnance de classement (ATF 144 IV 81 consid. 2.3.5 p. 88).</w:t>
      </w:r>
    </w:p>
    <w:p>
      <w:r>
        <w:t>- 5/8 - P/3885/2017</w:t>
      </w:r>
    </w:p>
    <w:p>
      <w:r>
        <w:rPr>
          <w:b/>
        </w:rPr>
        <w:t>E. 3.2</w:t>
      </w:r>
    </w:p>
    <w:p>
      <w:r>
        <w:t>Le fait est nouveau si l'autorité n'a pas pu en avoir eu connaissance. L'art. 323 al. 1 CPP assimile à la connaissance concrète les situations dans lesquelles il existait déjà dans le dossier des éléments se référant au fait (A. KUHN / Y. JEANNERET (éds), op. cit., n. 20 ad art. 323). Ainsi, des moyens de preuves qui ont été cités voire administrés dans le cadre de la procédure antérieure sans être toutefois complètement exploités, ne peuvent pas être considérés comme étant nouveaux (ATF 141 IV 194 consid. 2.3. p. 197).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ATF 137 IV 59 consid. 5.1.1). On ne saurait exiger qu'un fait ou un moyen de preuve ne soit considéré comme nouveau que dans la mesure où le ministère public ne pouvait pas en avoir connaissance, dans le cadre de la procédure antérieure, même en ayant fait montre de la plus grande diligence. Concevoir les choses ainsi serait trop strict puisqu'en raison du grand nombre d'affaires pénales qu'elles ont à traiter, les autorités d'instruction sont naturellement enclines à classer les procédures, ce qui donne à penser que l'on ne saurait se monter par trop exigeant s'agissant du respect du devoir de diligence (Message du Conseil fédéral relatif à l'unification du droit de la procédure pénale du 21 décembre 2005, FF 2006 1257). Les exigences quant à la diligence de l'autorité de poursuite doivent être raisonnables. Le législateur a visé un compromis entre l'impossibilité absolue pour l'autorité de poursuite de revenir sur sa propre absence de diligence et une possibilité d'y remédier en tout temps par opportunité, cette dernière solution étant manifestement proscrite par le texte même de l'art. 323 al 1 CPP (A. KUHN / Y. JEANNERET (éds), op. cit., n. 20 ad art. 323). Il est concevable qu'au cours de la première procédure, le ministère public ou une partie, notamment la partie plaignante, ait eu connaissance d'un moyen de preuve ou d'un fait important, mais pour une raison quelconque, n'en ont volontairement pas parlé durant la procédure. En pareille occurrence, le principe de la bonne foi ou l'interdiction de l'abus de droit devrait en règle générale faire obstacle à une reprise de la procédure au détriment du prévenu (FF 2006 p. 1257). La question de savoir si un fait ou un moyen de preuve est nouveau relève de l'appréciation des preuves, tout comme celle de savoir si le fait ou le moyen de preuve nouveau est propre à modifier l'état de fait retenu dans le premier jugement (DCPR/199/2011 du 5 août 2011; A. KUHN / Y. JEANNERET (éds), op. cit., n. 15 ad art. 323). Concrètement, les faits ou moyens de preuve nouveaux doivent remettre en cause les certitudes que le ministère public devait être à même d'afficher pour rendre une telle décision et, dans le même temps, fonder des soupçons suffisants laissant présumer qu'une infraction a été commise (arrêt du Tribunal fédéral 6B_1153/2016 consid. 3.2. in fine, non publié aux ATF 144 IV 81).</w:t>
      </w:r>
    </w:p>
    <w:p>
      <w:r>
        <w:t>- 6/8 - P/3885/2017</w:t>
      </w:r>
    </w:p>
    <w:p>
      <w:r>
        <w:rPr>
          <w:b/>
        </w:rPr>
        <w:t>E. 3.3</w:t>
      </w:r>
    </w:p>
    <w:p>
      <w:r>
        <w:t>À l'aune de ces principes, les motifs exposés par le Ministère public pour refuser de rouvrir la procédure ne prêtent pas à discussion. L'enregistrement vidéo de l'altercation par le mis en cause était connu du recourant dès son audition par la police le 17 février 2017, outre que ce dernier avait certainement vu le premier cité en train de le filmer. Il importe peu à cet égard que le recourant n'ai pas demandé à le visionner. Il lui appartenait de consulter la procédure et de recourir contre l'ordonnance de non-entrée en matière et relever qu'un moyen de preuve existait contrairement à ce que soutenait le Ministère public.</w:t>
      </w:r>
    </w:p>
    <w:p>
      <w:r>
        <w:rPr>
          <w:b/>
        </w:rPr>
        <w:t>E. 3.4</w:t>
      </w:r>
    </w:p>
    <w:p>
      <w:r>
        <w:t>Le recourant invoque, en outre, la commission d'une autre infraction, soit ce qu'il qualifie d'injure raciste lors de l'appel de B______ au 117 que lui avait révélée le Procureur général dans la P/2______/2017 lors de l'audience du 9 octobre 2017. Cette accusation n'a ainsi jamais fait l'objet de la procédure achevée par la décision de non-entrée en matière du 9 mai 2017. Fait nouveau et grief nouveau ne sauraient être confondus. La décision querellée s'avère fondée, et le recours doit être rejeté.</w:t>
      </w:r>
    </w:p>
    <w:p>
      <w:r>
        <w:rPr>
          <w:b/>
        </w:rPr>
        <w:t>E. 4</w:t>
      </w:r>
    </w:p>
    <w:p>
      <w:r>
        <w:t>Le recourant, qui succombe dans toutes ses conclusions, supportera les frais envers l'État, fixés en totalité à CHF 900.- (art. 428 al. 1 CPP et 13 al. 1 du Règlement fixant le tarif des frais en matière pénale, RTFMP; E 4 10.03). * * * * *</w:t>
      </w:r>
    </w:p>
    <w:p>
      <w:r>
        <w:t>- 7/8 - P/3885/2017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