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ACPR/100/2021 vom 14. Dezember 2020</w:t>
      </w:r>
    </w:p>
    <w:p>
      <w:r>
        <w:t>GE Cour de justice, 2020-12-14, FR</w:t>
      </w:r>
    </w:p>
    <w:p>
      <w:r>
        <w:rPr>
          <w:b/>
        </w:rPr>
        <w:t xml:space="preserve">Quelle: </w:t>
      </w:r>
      <w:r>
        <w:t>https://mcp.opencaselaw.ch/entscheid/ge_gerichte_ACPR_100_2021</w:t>
      </w:r>
    </w:p>
    <w:p>
      <w:r>
        <w:t>FR: GE_GERICHTE ACPR/100/2021 du 14 décembre 2020</w:t>
      </w:r>
    </w:p>
    <w:p>
      <w:r>
        <w:t>IT: GE_GERICHTE ACPR/100/2021 del 14 dicembre 2020</w:t>
      </w:r>
    </w:p>
    <w:p>
      <w:pPr>
        <w:pStyle w:val="Heading2"/>
      </w:pPr>
      <w:r>
        <w:t>Erwägungen</w:t>
      </w:r>
    </w:p>
    <w:p>
      <w:r>
        <w:rPr>
          <w:b/>
        </w:rPr>
        <w:t>E. 1</w:t>
      </w:r>
    </w:p>
    <w:p>
      <w:r>
        <w:t>Le recours a été déposé selon la forme et dans le délai prescrits (art. 385 al. 1 et 396 al. 1 CPP), concerne une décision judiciaire ultérieure indépendante au sens de l'art. 393 CPP sujette à recours auprès de la Chambre de céans (arrêt du Tribunal fédéral 6B_293/2012 du 21 février 2013 consid. 2; ACPR/421/2013) et émane du condamné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TAPEM d'avoir violé son droit d'être entendu.</w:t>
      </w:r>
    </w:p>
    <w:p>
      <w:r>
        <w:rPr>
          <w:b/>
        </w:rPr>
        <w:t>E. 3.1</w:t>
      </w:r>
    </w:p>
    <w:p>
      <w:r>
        <w:t>Le droit d'être entendu, tel qu'il est garanti aux art. 3 al. 2 let. c CPP et 29 al. 2 Cst., comprend notamment le droit pour l'intéressé de s'exprimer sur les éléments pertinents du dossier avant qu'une décision ne soit prise touchant sa situation juridique et de consulter le dossier (ATF 140 I 285 consid. 6.3.1 p. 299 ; 136 I 265 consid. 3.2 p. 272).</w:t>
      </w:r>
    </w:p>
    <w:p>
      <w:r>
        <w:rPr>
          <w:b/>
        </w:rPr>
        <w:t>E. 3.2</w:t>
      </w:r>
    </w:p>
    <w:p>
      <w:r>
        <w:t>En l'espèce, le recourant a été atteint par la citation à comparaître à l'audience du ______ 2020 – le pli recommandé ayant été dûment notifié à son seul domicile connu. Du moins, celui-ci était dans sa sphère d'influence. À cet égard, peu importe ici que le père du recourant ait indiqué à l'époque au SPI n'avoir plus de contacts avec son fils, qui était "persona non grata". Il appartenait au recourant – au demeurant assisté d'un conseil – de faire en sorte de pouvoir être atteint par les autorités pénales, ce qu'il n'a pas fait. Le TAPEM a par ailleurs doublé sa communication d'une citation par voie édictale. Partant, c'est à tort que le recourant prétend ne pas avoir eu connaissance de la citation à comparaître. Enfin, le TAPEM a statué après avoir préalablement requis la détermination écrite du conseil du recourant, de sorte que, là encore, on ne décèle aucune violation du droit d'être entendu.</w:t>
      </w:r>
    </w:p>
    <w:p>
      <w:r>
        <w:rPr>
          <w:b/>
        </w:rPr>
        <w:t>E. 4.1</w:t>
      </w:r>
    </w:p>
    <w:p>
      <w:r>
        <w:t>Selon l'art. 95 al. 3 CP, si le condamné se soustrait à l'assistance de probation, s'il viole les règles de conduite ou si l'assistance de probation ou les règles de conduite ne peuvent pas être exécutées ou ne sont plus nécessaires, l'autorité compétente présente un rapport au juge ou à l'autorité d'exécution. L'al. 4 de cette même norme précise que, dans ces cas, le juge ou l'autorité d'exécution peut : prolonger le délai d'épreuve jusqu'à concurrence de la moitié de sa durée (let. a),</w:t>
      </w:r>
    </w:p>
    <w:p>
      <w:r>
        <w:t>- 7/10 - PM/1223/2020 lever l'assistance de probation ou en ordonner une nouvelle (let. b), modifier les règles de conduite, les révoquer ou en imposer de nouvelles (let. c). Les mesures supplémentaires prévues par cet article doivent être ordonnées lorsqu'elles peuvent encore contribuer à la réussite de la mise à l'épreuve (M. DUPUIS / L. MOREILLON / C. PIGUET / S. BERGER / M. MAZOU / V. RODIGARI (éds), Code pénal - Petit commentaire, 2e éd., Bâle 2017, n. 6 ad. art. 95). Le juge peut aussi révoquer le sursis ou ordonner la réintégration dans l'exécution de la peine ou de la mesure s'il est sérieusement à craindre que le condamné ne commette de nouvelles infractions (al. 5). L'art. 95 al. 5 CP est applicable en dernier recours, lorsque la perspective de probation pour le condamné s'est détériorée pour une raison quelconque pendant le délai d'épreuve, au point que seule l'exécution de la peine semble la sanction la plus efficace (ACPR/649/2016 du 12 octobre 2016 et les références).</w:t>
      </w:r>
    </w:p>
    <w:p>
      <w:r>
        <w:rPr>
          <w:b/>
        </w:rPr>
        <w:t>E. 4.2</w:t>
      </w:r>
    </w:p>
    <w:p>
      <w:r>
        <w:t>En l'espèce, il est flagrant que le recourant s'est soustrait à l'assistance de probation et aux règles de conduite imposées depuis le 18 mars 2020. Le SPI a indiqué qu'il ne s'était pas présenté aux convocations qui lui avaient été adressées les</w:t>
      </w:r>
    </w:p>
    <w:p>
      <w:r>
        <w:rPr>
          <w:b/>
        </w:rPr>
        <w:t>E. 6</w:t>
      </w:r>
    </w:p>
    <w:p>
      <w:r>
        <w:t>Le recourant, qui succombe, supportera les frais envers l'État, qui comprendront un émolument de CHF 900.- (art. 428 al. 1 CPP et 13 al. 1 du Règlement fixant le tarif des frais en matière pénale, RTFMP; E 4 10.03).</w:t>
      </w:r>
    </w:p>
    <w:p>
      <w:r>
        <w:rPr>
          <w:b/>
        </w:rPr>
        <w:t>E. 7</w:t>
      </w:r>
    </w:p>
    <w:p>
      <w:r>
        <w:t>Le défenseur d'office conclut à des dépens, qu'il n'a pas chiffrés.</w:t>
      </w:r>
    </w:p>
    <w:p>
      <w:r>
        <w:t>- 8/10 - PM/1223/2020</w:t>
      </w:r>
    </w:p>
    <w:p>
      <w:r>
        <w:t>La procédure étant ici close (art. 135 al. 2 CPP), il sera entré en matière.</w:t>
      </w:r>
    </w:p>
    <w:p>
      <w:r>
        <w:t>L'art. 135 al. 1 CPP prévoit que le défenseur d'office est indemnisé conformément au tarif des avocats de la Confédération et du canton for du procès. À Genève, le tarif des avocats est édicté à l'art. 16 RAJ et s'élève à CHF 200.- de l'heure pour un chef d'étude (al. 1 let. c).</w:t>
      </w:r>
    </w:p>
    <w:p>
      <w:r>
        <w:t>Eu égard à l'activité déployée pour le recours, soit un mémoire de 13 pages, dont 5 pages de droit, et à l'absence de difficultés juridiques, l'indemnité allouée sera fixée, ex aequo et bono à CHF 800.- TTC. * * * * *</w:t>
      </w:r>
    </w:p>
    <w:p>
      <w:r>
        <w:t>- 9/10 - PM/1223/2020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