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ACPR/100/2020 vom 3. Oktober 2019</w:t>
      </w:r>
    </w:p>
    <w:p>
      <w:r>
        <w:t>GE Cour de justice, 2019-10-03, FR</w:t>
      </w:r>
    </w:p>
    <w:p>
      <w:r>
        <w:rPr>
          <w:b/>
        </w:rPr>
        <w:t xml:space="preserve">Quelle: </w:t>
      </w:r>
      <w:r>
        <w:t>https://mcp.opencaselaw.ch/entscheid/ge_gerichte_ACPR_100_2020</w:t>
      </w:r>
    </w:p>
    <w:p>
      <w:r>
        <w:t>FR: GE_GERICHTE ACPR/100/2020 du 3 octobre 2019</w:t>
      </w:r>
    </w:p>
    <w:p>
      <w:r>
        <w:t>IT: GE_GERICHTE ACPR/100/2020 del 3 ottobre 2019</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L'objet du litige étant une ordonnance de classement et non la récusation d'un membre du Ministère public, la conclusion en lien avec un changement de procureur tombe à faux.</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Le ministère public ordonne le classement de tout ou partie de la procédure, notamment, lorsqu'aucun soupçon justifiant une mise en accusation n'est établi ou que les éléments constitutifs d'une infraction ne sont pas réalisés (art. 319 al. 1 let. a et let. b CPP).</w:t>
      </w:r>
    </w:p>
    <w:p>
      <w:r>
        <w:t>- 6/9 - P/4912/2018 La décision de classer la procédure doit être prise en application du principe "in dubio pro duriore", qui découle du principe de la légalité (art. 5 al. 1 Cst. et art. 2 al. 2 CPP en relation avec les art. 319 al. 1 et 324 al. 1 CPP ; ATF 138 IV 86 consid. 4.2.).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(ATF 143 IV 241 consid. 2.2.1.; ATF 138 IV 86 consid. 4.1.2.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et les arrêts cités ; arrêt du Tribunal fédéral 6B_116/2019 du 11 mars 2019 consid. 2.1.).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6B_1239/2018 du 11 mars 2019 consid. 3.1.2.).</w:t>
      </w:r>
    </w:p>
    <w:p>
      <w:r>
        <w:rPr>
          <w:b/>
        </w:rPr>
        <w:t>E. 3.2</w:t>
      </w:r>
    </w:p>
    <w:p>
      <w:r>
        <w:t>En l'espèce, malgré l'ouverture d'une instruction et les nouveaux actes d'enquêtes menés, force est de constater qu'aucun élément probant ne permet d'imputer aux prévenus les blessures subies par le recourant. En effet, leurs déclarations n'ont pas varié et aucun élément de preuve objectif ne vient contredire leur version, puisqu'aucun témoin, y compris E______, ne les a aperçus dans les environs du lieu présumé de l'agression le 14 décembre 2017. Seule l'inimitié préexistante entre le recourant et B______, ainsi qu'une précédente altercation – en elle-même peu significative et sans commune mesure avec les faits décrits par le recourant et dans des circonstances spécifiques – nourrissent les soupçons du recourant. L'on ne voit cependant pas pour quel motif B______ s'en serait à nouveau pris au recourant, ce dernier ne faisant pas état d'une nouvelle dispute. Les déclarations du recourant n'ont cessé de fluctuer. Il a d'abord déclaré : (1) être tombé, puis un mois plus tard, avoir par ailleurs été agressé; (2) qu'on lui avait donné un coup sur la tête avec un objet, puis avoir reçu plusieurs coups avec la main, le poing, voire un objet métallique sur le haut du crâne et vers l'orbite gauche alors que</w:t>
      </w:r>
    </w:p>
    <w:p>
      <w:r>
        <w:t>- 7/9 - P/4912/2018 sa tête était maintenue en arrière et, enfin qu'on lui avait "pris les mains derrière le dos" et tapé sur la tête avec un bout de métal; (3) que l'intervention de la police à son domicile en janvier 2018 résultait d'une initiative de sa femme, puis que lui-même l'avait appelée; (4) ne pas connaître le second agresseur, puis, par courrier du 20 juillet 2018, que l'identité de ce dernier avait été découverte par son fils à la suite d'une enquête de voisinage, pour enfin expliquer que l'identité de l'auteur lui était connue depuis le début, qu'il l'avait transmise à la police, et qu'elle lui avait été donnée par "une dame qui habitait de l'autre côté". Le recourant a également expliqué que, trois mois avant l'agression, alors qu'il se trouvait chez lui avec D______, B______ avait ouvert la porte de l'appartement, était entré et l'avait "agressé". Or, selon D______, cet incident était survenu fin novembre (soit environ deux semaines avant le 14 décembre 2017), mais devant les boîtes aux lettres de l'immeuble, ce qui est corroboré par le prévenu. Même si ces fluctuations et incohérences peuvent s'expliquer par le trouble dont souffre le recourant, lequel affecte de manière sévère sa mémoire, il n'en demeure pas moins qu'en l'absence – même après l'instruction des faits – de tout élément objectif corroborant ses dires, on ne saurait considérer que sa version serait plus plausible que celle des prévenus, de sorte qu'un acquittement de ceux-ci, s'ils sont renvoyés en jugement, apparaît plus probable qu'une condamnation. C'est donc à juste titre que le Ministère public a rejeté l'administration des preuves sollicitées dans la mesure où aucune d'elles n'est de nature à imputer aux prévenus les lésions subies par le recourant. Par ailleurs, la question de la qualification de ces dernières peut rester ouverte, au regard de ce qui précède.</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 * * * *</w:t>
      </w:r>
    </w:p>
    <w:p>
      <w:r>
        <w:t>- 8/9 - P/4912/2018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