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ACPR/1002/2025 vom 31. Oktober 2025</w:t>
      </w:r>
    </w:p>
    <w:p>
      <w:r>
        <w:t>GE Cour de justice, 2025-10-31, FR</w:t>
      </w:r>
    </w:p>
    <w:p>
      <w:r>
        <w:rPr>
          <w:b/>
        </w:rPr>
        <w:t xml:space="preserve">Quelle: </w:t>
      </w:r>
      <w:r>
        <w:t>https://mcp.opencaselaw.ch/entscheid/ge_gerichte_ACPR_1002_2025</w:t>
      </w:r>
    </w:p>
    <w:p>
      <w:r>
        <w:t>FR: GE_GERICHTE ACPR/1002/2025 du 31 octobre 2025</w:t>
      </w:r>
    </w:p>
    <w:p>
      <w:r>
        <w:t>IT: GE_GERICHTE ACPR/1002/2025 del 31 ottobre 2025</w:t>
      </w:r>
    </w:p>
    <w:p>
      <w:pPr>
        <w:pStyle w:val="Heading2"/>
      </w:pPr>
      <w:r>
        <w:t>Erwägungen</w:t>
      </w:r>
    </w:p>
    <w:p>
      <w:r>
        <w:rPr>
          <w:b/>
        </w:rPr>
        <w:t>E. 23</w:t>
      </w:r>
    </w:p>
    <w:p>
      <w:r>
        <w:t>mars 2015 consid. 2.1) ; - en l'espèce, le recourant a chiffré ses dépens pour la procédure de recours à au moins CHF 1'800.-, somme correspondant à quatre heures de travail pour la préparation du recours au tarif horaire de CHF 450.-. Dans la mesure où le recours aurait vraisemblablement été admis, le recourant a droit à une indemnité. Toutefois, au vu du rejet de la demande d’effet suspensif, de l’acte de recours prolixe (quatorze pages, pages de garde et de conclusions incluses, dont quatre pages de discussion juridique) et de la réplique (une page), dans une cause dépourvue de complexité, l'indemnité due, à la charge de l'État, sera réduite à CHF 972.90 correspondant à deux heures d’activité au tarif horaire d'associé [CHF 450.-], TVA à 8.1. % en sus. Dite indemnité sera allouée à l’avocat du recourant (art. 429 al. 3 CPP). * * * * *</w:t>
      </w:r>
    </w:p>
    <w:p>
      <w:r>
        <w:t>- 5/5 - P/22092/2025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