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ACPR/1001/2023 vom 22. Dezember 2023</w:t>
      </w:r>
    </w:p>
    <w:p>
      <w:r>
        <w:t>GE Cour de justice, 2023-12-22, FR</w:t>
      </w:r>
    </w:p>
    <w:p>
      <w:r>
        <w:rPr>
          <w:b/>
        </w:rPr>
        <w:t xml:space="preserve">Quelle: </w:t>
      </w:r>
      <w:r>
        <w:t>https://mcp.opencaselaw.ch/entscheid/ge_gerichte_ACPR_1001_2023</w:t>
      </w:r>
    </w:p>
    <w:p>
      <w:r>
        <w:t>FR: GE_GERICHTE ACPR/1001/2023 du 22 décembre 2023</w:t>
      </w:r>
    </w:p>
    <w:p>
      <w:r>
        <w:t>IT: GE_GERICHTE ACPR/1001/2023 del 22 dicembre 2023</w:t>
      </w:r>
    </w:p>
    <w:p>
      <w:pPr>
        <w:pStyle w:val="Heading2"/>
      </w:pPr>
      <w:r>
        <w:t>Erwägungen</w:t>
      </w:r>
    </w:p>
    <w:p>
      <w:r>
        <w:rPr>
          <w:b/>
        </w:rPr>
        <w:t>E. 1</w:t>
      </w:r>
    </w:p>
    <w:p>
      <w:r>
        <w:t>Partie à la procédure P/1______/2020, en tant que parties plaignantes (art. 104 al. 1 let. b CPP), les requérantes ont qualité pour agir (art. 58 al. 1 CPP), et la Chambre de céans est compétente pour connaître de sa requête, dirigée contre un membre du ministère public (art. 59 al. 1 let. b CPP et 128 al. 2 let. a LOJ).</w:t>
      </w:r>
    </w:p>
    <w:p>
      <w:r>
        <w:rPr>
          <w:b/>
        </w:rPr>
        <w:t>E. 2</w:t>
      </w:r>
    </w:p>
    <w:p>
      <w:r>
        <w:t>La citée estime que la demande est tardive au sens de l'art. 58 al. 1 CPP. Dans la mesure où, dans l'arrêt ACPR/1000/2023 rendu ce jour, la Chambre de céans retient que les recours contre les levées de séquestre ne sont pas tardifs, tel devrait aussi être le cas pour la présente demande. La question souffre toutefois de rester indécise, compte tenu de ce qui suit.</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w:t>
      </w:r>
    </w:p>
    <w:p>
      <w:r>
        <w:t>- 7/10 - PS/72/2023 L'impartialité subjective d'un magistrat se présume jusqu'à preuve du contraire (arrêt du Tribunal fédéral 6B_621/2011 du 19 décembre 2011; ATF 136 III 605 consid. 3.2.1, p. 609; arrêt de la CourEDH Lindon, § 76).</w:t>
      </w:r>
    </w:p>
    <w:p>
      <w:r>
        <w:rPr>
          <w:b/>
        </w:rPr>
        <w:t>E. 3.2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Bâle 2014. n. 59 ad art. 56 CPP).</w:t>
      </w:r>
    </w:p>
    <w:p>
      <w:r>
        <w:rPr>
          <w:b/>
        </w:rPr>
        <w:t>E. 3.3</w:t>
      </w:r>
    </w:p>
    <w:p>
      <w:r>
        <w:t>En l'espèce, les requérantes reprochent à la Procureure d'avoir, à trois reprises, ordonné des levées partielles de séquestre sans les avertir, ni leur laisser l'opportunité de se déterminer. Sur ces trois occurrences, deux sont intervenues alors que l'accès des requérantes au dossier était contesté par le prévenu, lequel a expressément listé les pièces relatives aux séquestres (et à leurs levées) parmi celles auxquelles les parties plaignantes ne devaient pas accéder. Dans ce contexte, la situation de la Procureure ne lui permettait pas, sauf à rendre sans objet la procédure initiée sur ce volet, de notifier à ces dernières les décisions litigieuses. Il est d'ailleurs rappelé que la citée a rendu une ordonnance dans le sens d'un accès au dossier sans restriction des requérantes et que seul l'effet suspensif obtenu par le prévenu a empêché ces dernières d'en bénéficier jusqu'à l'arrêt de la Chambre de céans. Certes, la Procureure a admis avoir omis de transmettre aux parties plaignantes la première décision de levée partielle de séquestre. Cette erreur ne suffit pas, à elle seule, à créer une apparence de partialité ou de manque d'indépendance, d'autant moins que, comme mentionné, la Procureure défendait précisément le droit d'accès au dossier des requérantes.</w:t>
      </w:r>
    </w:p>
    <w:p>
      <w:r>
        <w:t>- 8/10 - PS/72/2023 Pour le surplus, les raisons qui ont conduit la Procureure à ordonner ces levées partielles de séquestre relèvent de son appréciation et de la conduite de l'instruction. Ces décisions ont fait suite à des demandes du prévenu faisant valoir des motifs personnels pour solliciter la libération partielle de ses avoirs. Elles sont sujettes à recours, voie que les requérantes ont d'ailleurs empruntée. Même à supposer que ces levées eussent été disproportionnées, voire illicites, et susceptibles de causer un dommage aux requérantes, ce que ces dernières soutiennent dans la procédure parallèle contre les décisions en cause, cela ne suffirait pas encore, en l'absence d'autres indices, pour retenir une prévention de la part de la magistrate.</w:t>
      </w:r>
    </w:p>
    <w:p>
      <w:r>
        <w:rPr>
          <w:b/>
        </w:rPr>
        <w:t>E. 4</w:t>
      </w:r>
    </w:p>
    <w:p>
      <w:r>
        <w:t>La requête sera ainsi rejetée.</w:t>
      </w:r>
    </w:p>
    <w:p>
      <w:r>
        <w:rPr>
          <w:b/>
        </w:rPr>
        <w:t>E. 5</w:t>
      </w:r>
    </w:p>
    <w:p>
      <w:r>
        <w:t>Les requérantes, qui succombent, assumeront, solidairement (art. 418 al. 2 CPP), les frais de la procédure (art. 428 al. 1 CPP), fixés en totalité à CHF 1'000.- (art. 13 al. 1 let. b du Règlement fixant le tarif des frais en matière pénale, RTFMP ; E 4 10.03). * * * * *</w:t>
      </w:r>
    </w:p>
    <w:p>
      <w:r>
        <w:t>- 9/10 - PS/72/2023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