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ACPR/1000/2023 vom 11. Oktober 2021</w:t>
      </w:r>
    </w:p>
    <w:p>
      <w:r>
        <w:t>GE Cour de justice, 2021-10-11, FR</w:t>
      </w:r>
    </w:p>
    <w:p>
      <w:r>
        <w:rPr>
          <w:b/>
        </w:rPr>
        <w:t xml:space="preserve">Quelle: </w:t>
      </w:r>
      <w:r>
        <w:t>https://mcp.opencaselaw.ch/entscheid/ge_gerichte_ACPR_1000_2023</w:t>
      </w:r>
    </w:p>
    <w:p>
      <w:r>
        <w:t>FR: GE_GERICHTE ACPR/1000/2023 du 11 octobre 2021</w:t>
      </w:r>
    </w:p>
    <w:p>
      <w:r>
        <w:t>IT: GE_GERICHTE ACPR/1000/2023 del 11 ottobre 2021</w:t>
      </w:r>
    </w:p>
    <w:p>
      <w:pPr>
        <w:pStyle w:val="Heading2"/>
      </w:pPr>
      <w:r>
        <w:t>Erwägungen</w:t>
      </w:r>
    </w:p>
    <w:p>
      <w:r>
        <w:rPr>
          <w:b/>
        </w:rPr>
        <w:t>E. 1</w:t>
      </w:r>
    </w:p>
    <w:p>
      <w:r>
        <w:t>Vu leur connexité évidente, les trois recours seront joints et traités en un seul arrêt.</w:t>
      </w:r>
    </w:p>
    <w:p>
      <w:r>
        <w:rPr>
          <w:b/>
        </w:rPr>
        <w:t>E. 2</w:t>
      </w:r>
    </w:p>
    <w:p>
      <w:r>
        <w:t>Tout d'abord, il convient d'examiner leur recevabilité.</w:t>
      </w:r>
    </w:p>
    <w:p>
      <w:r>
        <w:rPr>
          <w:b/>
        </w:rPr>
        <w:t>E. 2.1</w:t>
      </w:r>
    </w:p>
    <w:p>
      <w:r>
        <w:t>Selon l'art. 382 al. 1 CPP, toute partie qui a un intérêt juridiquement protégé à l'annulation ou à la modification d'une décision a qualité pour recourir contre celle- ci.</w:t>
      </w:r>
    </w:p>
    <w:p>
      <w:r>
        <w:rPr>
          <w:b/>
        </w:rPr>
        <w:t>E. 2.2</w:t>
      </w:r>
    </w:p>
    <w:p>
      <w:r>
        <w:t>La levée d'un séquestre n'est susceptible de causer un préjudice à la partie plaignante que pour autant que ses prétentions en restitution s'en trouvent compromises (ATF 126 I 97 consid. 1b). La partie plaignante dispose ainsi d'un intérêt juridique à l'annulation d'une décision de levée de séquestre lorsque cette mesure la prive de garantie en vue du paiement du dommage qu'elle allègue avoir subi ou, cas échéant, d'une allocation en sa faveur au sens de l'art. 70 al. 1 CP (ATF 140 IV 57 consid. 2.3; arrêt du Tribunal fédéral 1B_358/2013 du 18 février 2014 consid. 1.3).</w:t>
      </w:r>
    </w:p>
    <w:p>
      <w:r>
        <w:rPr>
          <w:b/>
        </w:rPr>
        <w:t>E. 2.3</w:t>
      </w:r>
    </w:p>
    <w:p>
      <w:r>
        <w:t>Par ailleurs, l'intérêt juridique doit être actuel et pratique (ATF 140 IV 74 consid. 1.3.1), soit exister tant au moment du dépôt du recours qu'à celui où l'arrêt est rendu (ATF 142 I 135 consid. 1.3.1).</w:t>
      </w:r>
    </w:p>
    <w:p>
      <w:r>
        <w:t>- 10/16 - P/21431/2020 Même si la jurisprudence fédérale n'est pas encore uniforme sur ce point, la tendance générale, soutenue par la doctrine, va dans le sens où il est dorénavant renoncé à l'exigence d'un intérêt actuel lorsque le recours tend à faire constater l'illicéité d'une mesure de contrainte déjà exécutée (ATF 136 I 274 consid. 1.3; arrêts du Tribunal fédéral 6B_1167/2021 du 27 juillet 2022 consid. 1; 1B_280/2021 du 28 juin 2021 consid. 1; 1B_550/2021 du 13 janvier 2022 consid. 3.2). S'il est parfois exigé que le recourant rende vraisemblable une violation de la CEDH en lien avec la mesure de contrainte concernée (cf. arrêt 6B_1167/2021 précité, consid. 1; ACPR/593/2022 du 25 août 2022 consid. 1.2.1), ce critère n'apparaît pas, dans d'autres cas, nécessaire pour faire constater l'illicéité alléguée (cf. arrêts du Tribunal fédéral 1B_550/2021 précité consid. 3.2 et 1B_275/2020 du 22 septembre 2022 qui portent sur des recours de prévenus contre des perquisitions déjà exécutées).</w:t>
      </w:r>
    </w:p>
    <w:p>
      <w:r>
        <w:rPr>
          <w:b/>
        </w:rPr>
        <w:t>E. 2.4</w:t>
      </w:r>
    </w:p>
    <w:p>
      <w:r>
        <w:t>En l'espèce, les recourantes, qui allèguent avoir été victimes d'une escroquerie et d'un abus de confiance portant sur plusieurs dizaines de millions de francs, concluent à l'annulation de décisions déjà exécutées, de sorte que, sous cet angle, les recours ont perdu leur objet. Les recourantes concluent toutefois, subsidiairement, au constat de l'illicéité des décisions querellées. Elles estiment en effet que les levées partielles de séquestre ont entamé la substance des fonds saisis, mettant ainsi en péril leurs prétentions en paiement de leur dommage. Or, comme les recourantes ont été privées de la possibilité de s'opposer à ces mesures ordonnées par le Ministère public avant leur exécution, elles pourraient – a priori et comme elles l'allèguent du reste ouvertement – prétendre à une réparation de l'État s'il était donné suite à leurs conclusions et que leur dommage allégué, sous réserve d'être reconnu au fond, s'avérait par la suite couvert de manière moindre que si les levées partielles n'avaient pas été exécutées. Elles conservent ainsi un intérêt actuel au constat de l'illicéité des décisions querellées. Sous cet angle, les réquisits de l'art. 382 al. 1 CPP sont remplis.</w:t>
      </w:r>
    </w:p>
    <w:p>
      <w:r>
        <w:rPr>
          <w:b/>
        </w:rPr>
        <w:t>E. 3</w:t>
      </w:r>
    </w:p>
    <w:p>
      <w:r>
        <w:t>Reste à examiner si les recours sont tardifs.</w:t>
      </w:r>
    </w:p>
    <w:p>
      <w:r>
        <w:rPr>
          <w:b/>
        </w:rPr>
        <w:t>E. 3.1</w:t>
      </w:r>
    </w:p>
    <w:p>
      <w:r>
        <w:t>Selon l'art. 396 al. 1 CPP, le recours est formé dans les dix jours. Les délais fixés en jours commencent à courir le jour qui suit leur notification ou l'évènement qui les déclenche (art. 90 al. 1 CPP).</w:t>
      </w:r>
    </w:p>
    <w:p>
      <w:r>
        <w:rPr>
          <w:b/>
        </w:rPr>
        <w:t>E. 3.2</w:t>
      </w:r>
    </w:p>
    <w:p>
      <w:r>
        <w:t>Le fardeau de la preuve de la notification et de la date de celle-ci incombe en principe à l'autorité qui entend en tirer une conséquence juridique (ATF 129 I 8</w:t>
      </w:r>
    </w:p>
    <w:p>
      <w:r>
        <w:t>- 11/16 - P/21431/2020 consid. 2.2; arrêts du Tribunal fédéral 6B_876/2013 du 6 mars 2014 consid. 2.3.2;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103 V 63 consid. 2a p. 66; arrêt 6B_955/2008 du 17 mars 2009 consid. 1).</w:t>
      </w:r>
    </w:p>
    <w:p>
      <w:r>
        <w:rPr>
          <w:b/>
        </w:rPr>
        <w:t>E. 3.3</w:t>
      </w:r>
    </w:p>
    <w:p>
      <w:r>
        <w:t>La notification irrégulière d'une décision ne doit entraîner aucun préjudice pour les parties (arrêt du Tribunal fédéral 6B_264/2014 du 8 juillet 2014 consid. 2.1). En principe, tant que l'acte n'a pas été notifié au destinataire, il est sans effet; les délais ne commencent pas à courir et on ne peut, par conséquent, pas reprocher à un justiciable d'avoir omis de respecter un délai (ATF 142 IV 201 consid. 2.4). Le délai de recours ne commence à courir qu'au moment où la partie a pu prendre connaissance de la décision, dans son dispositif et ses motifs (ATF 139 IV 228 consid. 1.3).</w:t>
      </w:r>
    </w:p>
    <w:p>
      <w:r>
        <w:rPr>
          <w:b/>
        </w:rPr>
        <w:t>E. 3.4</w:t>
      </w:r>
    </w:p>
    <w:p>
      <w:r>
        <w:t>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arrêt du Tribunal fédéral 6B_552/2015 du 3 août 2016 consid. 2.3 et 2.5).</w:t>
      </w:r>
    </w:p>
    <w:p>
      <w:r>
        <w:rPr>
          <w:b/>
        </w:rPr>
        <w:t>E. 3.5</w:t>
      </w:r>
    </w:p>
    <w:p>
      <w:r>
        <w:t>En l'espèce, il est constant que les recourantes ne se sont vues notifier aucune des trois décisions querellées. Pour la première, la Procureure a admis un oubli. Lorsque les deux autres ordonnances ont été rendues, le droit de consultation des précitées était gelé, depuis le 10 novembre 2021, en raison d'un litige sur leur qualité de parties plaignantes, puis sur la restriction de leur accès au dossier. Les recourantes n'ont finalement pu accéder auxdites décisions qu'au moment de consulter pour la première fois le dossier de la procédure. Le dépôt de leurs recours précède ainsi leur pleine prise de connaissance des décisions querellées et le Ministère public n'allègue ni ne démontre qu'une notification en bonne et due forme serait intervenue plus tôt. Si bien qu'en principe, le délai pour recourir n'avait pas encore commencé à courir au moment où les recourantes ont agi. Reste néanmoins que les recourantes ont su l'existence des décisions querellées par le biais, d'une part, de l'ordonnance du Ministère public du 21 novembre 2022 et, d'autre part, du recours du prévenu contre ce prononcé. Dans leurs observations du 30 janvier 2023, les recourantes ont d'ailleurs pris acte des levées partielles de séquestre, puisqu'elles ont souligné le caractère "problématique" de ces mesures</w:t>
      </w:r>
    </w:p>
    <w:p>
      <w:r>
        <w:t>- 12/16 - P/21431/2020 portant "sur le produit de l'infraction" et déploré qu'elles n'en avaient pas été informées. C'est même à ce titre que le Ministère public et le prévenu soutiennent conjointement l'irrecevabilité des recours, pour tardiveté, au motif que, de manière contraire à la bonne foi, elles n'avaient pas réagi durant plusieurs mois avant de contester les décisions querellées. Ce raisonnement ne saurait être suivi. Premièrement, lorsque les recourantes ont reçu l'ordonnance du 21 novembre 2022 du Ministère public et le recours du prévenu, ce dernier contestait leur accès au dossier et notamment aux pièces relatives aux séquestres effectués à Monaco, y compris les levées partielles subséquentes. Dans ces circonstances, il pouvait leur apparaître vain de chercher à obtenir une copie de ces pièces ou se renseigner à leur sujet, puisque ces documents faisaient justement l'objet d'une demande en restriction de leur consultation. Dès lors que la Chambre de céans a restitué l'effet suspensif au recours, gelant par là même leur accès au dossier, les recourantes pouvaient d'autant moins s'attendre à une suite positive à d'éventuelles demandes de leur part. Deuxièmement, il est admis que la question des levées partielles de séquestre a été mentionnée en présence des recourantes, lors d'une audience remontant selon le Ministère public, soit au 2 novembre 2022, soit au printemps 2023. Si les versions divergent quant à la teneur des propos échangés et à la nature "transparente" de la discussion informelle, les parties s'accordent néanmoins sur un point: la Procureure a déclaré aux recourantes que la substance des fonds saisis n'avait pas été entamée. Cette information était susceptible de rassurer les recourantes. Comme telle, elle pouvait raisonnablement les convaincre de ne pas investiguer plus avant la problématique des levées partielles de séquestre, même après avoir pris connaissance de l'existence de ces mesures. Troisièmement, en corollaire du point précédent, les recourantes n'ont appris les montants concernés par les levées partielles de séquestre qu'au moment de se voir notifier l'arrêt de la Chambre de céans du 12 juin 2023. Jusqu'alors, elles avaient été averties que des avoirs saisis avaient été, en partie, libérés mais que cela n'entamait – selon la Procureure – pas la substance des fonds séquestrés. Le détail des sommes en cause revêtait ainsi une importance particulière dans la décision des recourantes à agir ou non contre les décisions querellées. En définitive, les recourantes n'ont pas agi de manière contraire à la bonne foi en se contentant d'émettre des réserves dans leurs observations du 30 janvier 2023 sans entreprendre de démarches pour obtenir copie des décisions querellées, avant le</w:t>
      </w:r>
    </w:p>
    <w:p>
      <w:r>
        <w:t>- 13/16 - P/21431/2020 dépôt de leurs recours, le 21 juin 2023. Le contexte procédural ne se prêtait pas à de telles démarches et, en parallèle, les informations reçues du Ministère public ne les laissaient pas apparaître comme nécessaires. Il ne peut donc être reproché aux recourantes d'avoir volontairement et de mauvaise foi retardé le moment de leur prise de connaissance effective des décisions querellées, étant précisé que ce n'est qu'à réception de l'arrêt de la Chambre de céans du 12 juin 2023 qu'elles ont eu connaissance des éléments essentiels desdites décisions. Partant, les recours ne sont pas tardifs et les autres conditions de forme étant réunies, ils sont recevables.</w:t>
      </w:r>
    </w:p>
    <w:p>
      <w:r>
        <w:rPr>
          <w:b/>
        </w:rPr>
        <w:t>E. 4</w:t>
      </w:r>
    </w:p>
    <w:p>
      <w:r>
        <w:t>Les recourantes contestent le bien-fondé des levées de séquestre ordonnées par le Ministère public.</w:t>
      </w:r>
    </w:p>
    <w:p>
      <w:r>
        <w:rPr>
          <w:b/>
        </w:rPr>
        <w:t>E. 4.1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w:t>
      </w:r>
    </w:p>
    <w:p>
      <w:r>
        <w:rPr>
          <w:b/>
        </w:rPr>
        <w:t>E. 4.2</w:t>
      </w:r>
    </w:p>
    <w:p>
      <w:r>
        <w:t>Si le motif du séquestre disparaît, le ministère public ou le tribunal lève la mesure et restitue les objets et valeurs patrimoniales à l'ayant droit (art. 267 al. 1 CPP).</w:t>
      </w:r>
    </w:p>
    <w:p>
      <w:r>
        <w:rPr>
          <w:b/>
        </w:rPr>
        <w:t>E. 4.3</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w:t>
      </w:r>
    </w:p>
    <w:p>
      <w:r>
        <w:rPr>
          <w:b/>
        </w:rPr>
        <w:t>E. 4.4</w:t>
      </w:r>
    </w:p>
    <w:p>
      <w:r>
        <w:t>En l'espèce, le Ministère public explique avoir procédé aux levées partielles de séquestre par le biais de simples courriers aux autorités monégasques, sans rendre d'ordonnances formelles, compte tenu du contexte d'entraide internationale. Les décisions querellées ne contiennent aucune motivation particulière, l'autorité</w:t>
      </w:r>
    </w:p>
    <w:p>
      <w:r>
        <w:t>- 14/16 - P/21431/2020 précédente se limitant à faire part de son intention de donner suite aux demandes du prévenu en libération de ses avoirs pour des raisons personnelles. Dans ses observations, le Ministère public ne traite que brièvement du fond du litige, l'essentiel de ses arguments étant concentré sur l'irrecevabilité alléguée des recours. Il estime ainsi, en substance, qu'une somme équivalente aux commissions fondant la prévention pénale n'aurait, dès le début, pas pu être séquestrée sur les comptes monégasques du prévenu, ceux-ci affichant un solde total inférieur au moment de leur blocage. Il soutient toutefois, de manière qui paraît contradictoire, que les montants libérés n'entameraient pas les éventuelles prétentions des recourantes et resteraient proportionnés. Ces explications – lacunaires – ne permettent pas de déterminer, par exemple, si et pourquoi le Ministère public a considéré que le prévenu disposait seulement de ses comptes monégasques pour s'acquitter de ses frais courants, dans quelle mesure et sur quelle base l'autorité précitée a estimé qu'il se justifiait de lui allouer EUR 25'000.- mensuels à titre de dépenses personnelles, ou encore pourquoi la Procureure a diminué certains des versements uniques, par rapport aux montants sollicités par le prévenu, et pas d'autres. La situation paraît ainsi insuffisamment établie et le Ministère public ne l'a pas éclaircie devant la Chambre de céans. Or, il n'appartient pas à l'autorité de recours de rechercher – a posteriori – des justifications pour des décisions prises par l'instance précédente. En l'état, la Chambre de céans n'est par conséquent pas en mesure de statuer sur la demande de constat de l'illicéité des levées de séquestre litigieuses.</w:t>
      </w:r>
    </w:p>
    <w:p>
      <w:r>
        <w:rPr>
          <w:b/>
        </w:rPr>
        <w:t>E. 5</w:t>
      </w:r>
    </w:p>
    <w:p>
      <w:r>
        <w:t>Partant, le recours sera partiellement admis et le Ministère public invité à motiver les décisions querellées (ACPR/184/2022 du 15 mars 2022 consid. 3).</w:t>
      </w:r>
    </w:p>
    <w:p>
      <w:r>
        <w:rPr>
          <w:b/>
        </w:rPr>
        <w:t>E. 6</w:t>
      </w:r>
    </w:p>
    <w:p>
      <w:r>
        <w:t>L'admission du recours, pour les motifs exposés, ne donne pas lieu à la perception de frais (art. 428 al. 1 CPP).</w:t>
      </w:r>
    </w:p>
    <w:p>
      <w:r>
        <w:rPr>
          <w:b/>
        </w:rPr>
        <w:t>E. 7</w:t>
      </w:r>
    </w:p>
    <w:p>
      <w:r>
        <w:t>Les recourantes, qui ont partiellement gain de cause, ont requis une indemnité de procédure de CHF 18'692.95 pour l'ensemble de leurs recours, correspondant à 38h57 au tarif horaire de CHF 450.-/heure pour un associé, TVA en sus.</w:t>
      </w:r>
    </w:p>
    <w:p>
      <w:r>
        <w:rPr>
          <w:b/>
        </w:rPr>
        <w:t>E. 7.1</w:t>
      </w:r>
    </w:p>
    <w:p>
      <w:r>
        <w:t>En vertu de l'art. 436 al. 1 CPP, les prétentions en indemnité dans les procédures de recours sont régies par les art. 429 à 434 CPP. Selon l'art. 433 al. 2 CPP, la partie plaignante adresse à l'autorité pénale ses prétentions, qu'elle doit chiffrer et justifier.</w:t>
      </w:r>
    </w:p>
    <w:p>
      <w:r>
        <w:t>- 15/16 - P/21431/2020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3.1 et 3.2).</w:t>
      </w:r>
    </w:p>
    <w:p>
      <w:r>
        <w:rPr>
          <w:b/>
        </w:rPr>
        <w:t>E. 7.2</w:t>
      </w:r>
    </w:p>
    <w:p>
      <w:r>
        <w:t>En l'occurrence, les recourantes ont déposé trois actes de recours et trois répliques, similaires pour chaque décision querellée sous réserve des adaptations de forme, qui comportent onze pages (page de garde et conclusions incluses), respectivement vingt-cinq pages (page de garde incluse). Certes, la cause présente une certaine complexité, renforcée par le fait que les recourantes n'ont eu accès au dossier de la procédure qu'après le dépôt de leurs recours. Cela étant, leurs arguments auraient pu être exposés de manière plus succincte. Il s'ensuit que l'indemnité sera fixée à CHF 9'693.-, correspondant à une activité globale de 20h, au tarif horaire de CHF 450.-, TVA (7.7%) incluse, à la charge de l'État. * * * * *</w:t>
      </w:r>
    </w:p>
    <w:p>
      <w:r>
        <w:t>- 16/16 -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