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ACOM/95/2008 vom 3. September 2008</w:t>
      </w:r>
    </w:p>
    <w:p>
      <w:r>
        <w:t>GE Cour de justice, 2008-09-03, FR</w:t>
      </w:r>
    </w:p>
    <w:p>
      <w:r>
        <w:rPr>
          <w:b/>
        </w:rPr>
        <w:t xml:space="preserve">Quelle: </w:t>
      </w:r>
      <w:r>
        <w:t>https://mcp.opencaselaw.ch/entscheid/ge_gerichte_ACOM_95_2008</w:t>
      </w:r>
    </w:p>
    <w:p>
      <w:r>
        <w:t>FR: GE_GERICHTE ACOM/95/2008 du 3 septembre 2008</w:t>
      </w:r>
    </w:p>
    <w:p>
      <w:r>
        <w:t>IT: GE_GERICHTE ACOM/95/2008 del 3 settembre 2008</w:t>
      </w:r>
    </w:p>
    <w:p>
      <w:pPr>
        <w:pStyle w:val="Heading2"/>
      </w:pPr>
      <w:r>
        <w:t>Erwägungen</w:t>
      </w:r>
    </w:p>
    <w:p>
      <w:r>
        <w:rPr>
          <w:b/>
        </w:rPr>
        <w:t>E. 1</w:t>
      </w:r>
    </w:p>
    <w:p>
      <w:r>
        <w:t>Selon l’article 66 alinéa 1 de la loi sur la procédure administrative du 12 septembre 1985 (LPA – E 5 10), le recours a un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l’article 21 alinéa 1 LPA, l’autorité peut d’office ou sur requête ordonner des mesures provisionnelles en exigeant au besoin des sûretés. Celles-ci sont de la compétence du Président s’il s’agit d’une autorité collégiale ou d’une juridiction administrative (al. 2).</w:t>
      </w:r>
    </w:p>
    <w:p>
      <w:r>
        <w:rPr>
          <w:b/>
        </w:rPr>
        <w:t>E. 2</w:t>
      </w:r>
    </w:p>
    <w:p>
      <w:r>
        <w:t>Il est conforme à l’institution de l’effet suspensif que celui-ci empêche ou paralyse l’exécution d’une décision sujette à un recours jusqu’à droit connu, c’est- à-dire jusqu’au moment où l’autorité de recours se sera prononcée sur le fond de la cause. Selon la doctrine et la jurisprudence du Tribunal fédéral, une ordonnance</w:t>
      </w:r>
    </w:p>
    <w:p>
      <w:r>
        <w:t>- 3/4 - A/3236/2008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no 4 pp. 217 et ss ; RDAF, 1994, p. 320).</w:t>
      </w:r>
    </w:p>
    <w:p>
      <w:r>
        <w:t>Il est donc exclu d’attribuer un effet suspensif à une décision négative. Dans un tel cas, la voie à suivre est celle de mesures provisionnelles (ATF 117 V 185 et ss ; ACOM/75/2008 du 19 juin 2008 ; ACOM/21/2008 du 20 février 2008 et les références citées).</w:t>
      </w:r>
    </w:p>
    <w:p>
      <w:r>
        <w:rPr>
          <w:b/>
        </w:rPr>
        <w:t>E. 3</w:t>
      </w:r>
    </w:p>
    <w:p>
      <w:r>
        <w:t>Conformément aux principes généraux qui régissent aussi bien la procédure civile que la procédure administrative, les mesures provisionnelles au sens de l’article 28 alinéa 2 RIOR ne sont légitimes que si elles s’avèrent nécessaires au maintien de l’état de fait ou à la sauvegarde des intérêts compromis. En revanche, elles ne sauraient en principe tout au moins, anticiper sur le jugement définitif, ni équivaloir à une condamnation provisoire sur le fond, ni non plus aboutir abusivement à rendre d’emblée illusoire le procès au fond (ATF 119 V 506, consid. 3).</w:t>
      </w:r>
    </w:p>
    <w:p>
      <w:r>
        <w:rPr>
          <w:b/>
        </w:rPr>
        <w:t>E. 4</w:t>
      </w:r>
    </w:p>
    <w:p>
      <w:r>
        <w:t>En l’espèce, il faut comprendre du courrier du doyen de la faculté du 30 septembre 2008 que, contrairement au service juridique de l’université, il ne s’oppose pas à l’octroi de mesures provisionnelles de sorte que celles-ci seront admises, permettant ainsi à la recourante de s’inscrire immédiatement pour la maîtrise qu’elle brigue.</w:t>
      </w:r>
    </w:p>
    <w:p>
      <w:r>
        <w:t>Vu la nature du litige, aucun émolument ne sera perçu (art. 33 RIOR).</w:t>
      </w:r>
    </w:p>
    <w:p>
      <w:r>
        <w:t>* * * * *</w:t>
      </w:r>
    </w:p>
    <w:p>
      <w:r>
        <w:t>- 4/4 - A/3236/2008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