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ACOM/75/2008 vom 19. Juni 2008</w:t>
      </w:r>
    </w:p>
    <w:p>
      <w:r>
        <w:t>GE Cour de justice, 2008-06-19, FR</w:t>
      </w:r>
    </w:p>
    <w:p>
      <w:r>
        <w:rPr>
          <w:b/>
        </w:rPr>
        <w:t xml:space="preserve">Quelle: </w:t>
      </w:r>
      <w:r>
        <w:t>https://mcp.opencaselaw.ch/entscheid/ge_gerichte_ACOM_75_2008</w:t>
      </w:r>
    </w:p>
    <w:p>
      <w:r>
        <w:t>FR: GE_GERICHTE ACOM/75/2008 du 19 juin 2008</w:t>
      </w:r>
    </w:p>
    <w:p>
      <w:r>
        <w:t>IT: GE_GERICHTE ACOM/75/2008 del 19 giugno 2008</w:t>
      </w:r>
    </w:p>
    <w:p>
      <w:pPr>
        <w:pStyle w:val="Heading2"/>
      </w:pPr>
      <w:r>
        <w:t>Erwägungen</w:t>
      </w:r>
    </w:p>
    <w:p>
      <w:r>
        <w:rPr>
          <w:b/>
        </w:rPr>
        <w:t>E. 1</w:t>
      </w:r>
    </w:p>
    <w:p>
      <w:r>
        <w:t>Selon l’article 66 alinéa 1 de la loi sur la procédure administrative du 12 septembre 1985 (LPA – E 5 10), le recours a un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l’article 21 alinéa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 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w:t>
      </w:r>
    </w:p>
    <w:p>
      <w:r>
        <w:t>- 4/5 - A/1853/2008</w:t>
      </w:r>
    </w:p>
    <w:p>
      <w:r>
        <w:t>Il est donc exclu d’attribuer un effet suspensif à une décision négative. Dans un tel cas, la voie à suivre est celle de mesures provisionnelles (ATF 117 V 185 et ss ; ACOM/21/2008 du 20 février 2008 et les références citées).</w:t>
      </w:r>
    </w:p>
    <w:p>
      <w:r>
        <w:t>Ainsi, la CRUNI examinera la demande d’effet suspensif sous l’angle des mesures provisionnelles.</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t>Cette manière de faire est prohibée par la jurisprudence et la doctrine (ATA/294/2008 du 6 juin 2008).</w:t>
      </w:r>
    </w:p>
    <w:p>
      <w:r>
        <w:rPr>
          <w:b/>
        </w:rPr>
        <w:t>E. 5</w:t>
      </w:r>
    </w:p>
    <w:p>
      <w:r>
        <w:t>Compte tenu de ce qui précède, la requête en effet suspensif, traitée comme mesures provisionnelles, sera rejetée.</w:t>
      </w:r>
    </w:p>
    <w:p>
      <w:r>
        <w:t>Vu la nature du litige, aucun émolument ne sera mis à la charge du recourant (art. 33 RIOR).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