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ACOM/47/2008 vom 20. Dezember 2005</w:t>
      </w:r>
    </w:p>
    <w:p>
      <w:r>
        <w:t>GE Cour de justice, 2005-12-20, FR</w:t>
      </w:r>
    </w:p>
    <w:p>
      <w:r>
        <w:rPr>
          <w:b/>
        </w:rPr>
        <w:t xml:space="preserve">Quelle: </w:t>
      </w:r>
      <w:r>
        <w:t>https://mcp.opencaselaw.ch/entscheid/ge_gerichte_ACOM_47_2008</w:t>
      </w:r>
    </w:p>
    <w:p>
      <w:r>
        <w:t>FR: GE_GERICHTE ACOM/47/2008 du 20 décembre 2005</w:t>
      </w:r>
    </w:p>
    <w:p>
      <w:r>
        <w:t>IT: GE_GERICHTE ACOM/47/2008 del 20 dicembre 2005</w:t>
      </w:r>
    </w:p>
    <w:p>
      <w:pPr>
        <w:pStyle w:val="Heading2"/>
      </w:pPr>
      <w:r>
        <w:t>Erwägungen</w:t>
      </w:r>
    </w:p>
    <w:p>
      <w:r>
        <w:rPr>
          <w:b/>
        </w:rPr>
        <w:t>E. 1</w:t>
      </w:r>
    </w:p>
    <w:p>
      <w:r>
        <w:t>En application de l’article 56J de la loi sur l’organisation judiciaire du 22 novembre 1941 (LOJ - E 2 05), le Tribunal des conflits est appelé à trancher les questions de compétence entre une juridiction administrative, d’une part, et une juridiction civile ou pénale, d’autre part.</w:t>
      </w:r>
    </w:p>
    <w:p>
      <w:r>
        <w:t>Il ressort de ce qui précède que les questions soulevées par le courrier précité du 20 janvier 2006 ne sont manifestement pas de la compétence du présent Tribunal, qui ne peut donner des avis de droit, hors le cadre d'une décision judiciaire soumise à son examen, sur les compétences respectives des différentes juridictions du canton de Genève.</w:t>
      </w:r>
    </w:p>
    <w:p>
      <w:r>
        <w:t>Dès lors, le présent recours doit être déclaré manifestement irrecevable ratione materiae, sans instruction préalable (art. 72 LPA).</w:t>
      </w:r>
    </w:p>
    <w:p>
      <w:r>
        <w:rPr>
          <w:b/>
        </w:rPr>
        <w:t>E. 2</w:t>
      </w:r>
    </w:p>
    <w:p>
      <w:r>
        <w:t>Un émolument de CHF 500.- sera mis à la charge du recourant qui succombe dans ses conclusions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