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ACOM/45/2008 vom 25. Februar 2008</w:t>
      </w:r>
    </w:p>
    <w:p>
      <w:r>
        <w:t>GE Cour de justice, 2008-02-25, FR</w:t>
      </w:r>
    </w:p>
    <w:p>
      <w:r>
        <w:rPr>
          <w:b/>
        </w:rPr>
        <w:t xml:space="preserve">Quelle: </w:t>
      </w:r>
      <w:r>
        <w:t>https://mcp.opencaselaw.ch/entscheid/ge_gerichte_ACOM_45_2008</w:t>
      </w:r>
    </w:p>
    <w:p>
      <w:r>
        <w:t>FR: GE_GERICHTE ACOM/45/2008 du 25 février 2008</w:t>
      </w:r>
    </w:p>
    <w:p>
      <w:r>
        <w:t>IT: GE_GERICHTE ACOM/45/2008 del 25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application de l’article 56J de la Loi cantonale genevoise sur l’organisation judiciaire du 22 novembre 1941 (LOJ - E 2 05), le Tribunal des Conflits est appelé à trancher les questions de compétence entre une juridiction administrative genevoise, d’une part, et une juridiction civile ou pénale genevoise également, d’autre part.</w:t>
      </w:r>
    </w:p>
    <w:p>
      <w:r>
        <w:t>Il ressort de cette disposition légale qu'en l'espèce, le présent Tribunal des Conflits, soit une juridiction cantonale chargée de trancher exclusivement des conflits de compétence entre d'autres juridictions cantonales, ne saurait à l'évidence statuer sur un recours en révision d'une décision prononcée par une autre juridiction, que ce soit le Tribunal de Première instance ou le Tribunal Fédéral.</w:t>
      </w:r>
    </w:p>
    <w:p>
      <w:r>
        <w:t>De même, le présent Tribunal des Conflits n'est-il pas compétent à raison de la matière pour statuer sur l'octroi de l'assistance juridique à un plaideur.</w:t>
      </w:r>
    </w:p>
    <w:p>
      <w:r>
        <w:t>Dès lors, le présent recours doit être, sans instruction préalable, déclaré manifestement irrecevable ratione materiae (art. 72 de la Loi sur la procédure administrative du 12 septembre 1985 - LPA – E 5 10).</w:t>
      </w:r>
    </w:p>
    <w:p>
      <w:r>
        <w:t>- 7/7 - A/4074/2007</w:t>
      </w:r>
    </w:p>
    <w:p>
      <w:r>
        <w:rPr>
          <w:b/>
        </w:rPr>
        <w:t>E. 2</w:t>
      </w:r>
    </w:p>
    <w:p>
      <w:r>
        <w:t>Vu la solution adoptée ci-dessus, un émolument de CHF 500.- sera mis à la charge du recourant qui succombe dans ses conclusions manifestement infondées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