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ACJP/70/2010 vom 7. August 2009</w:t>
      </w:r>
    </w:p>
    <w:p>
      <w:r>
        <w:t>GE Cour de justice, 2009-08-07, FR</w:t>
      </w:r>
    </w:p>
    <w:p>
      <w:r>
        <w:rPr>
          <w:b/>
        </w:rPr>
        <w:t xml:space="preserve">Quelle: </w:t>
      </w:r>
      <w:r>
        <w:t>https://mcp.opencaselaw.ch/entscheid/ge_gerichte_ACJP_70_2010</w:t>
      </w:r>
    </w:p>
    <w:p>
      <w:r>
        <w:t>FR: GE_GERICHTE ACJP/70/2010 du 7 août 2009</w:t>
      </w:r>
    </w:p>
    <w:p>
      <w:r>
        <w:t>IT: GE_GERICHTE ACJP/70/2010 del 7 agosto 2009</w:t>
      </w:r>
    </w:p>
    <w:p>
      <w:pPr>
        <w:pStyle w:val="Heading2"/>
      </w:pPr>
      <w:r>
        <w:t>Erwägungen</w:t>
      </w:r>
    </w:p>
    <w:p>
      <w:r>
        <w:rPr>
          <w:b/>
        </w:rPr>
        <w:t>E. 1</w:t>
      </w:r>
    </w:p>
    <w:p>
      <w:r>
        <w:t>L'appel est recevable pour avoir été déposé selon la forme et dans le délai prescrits (art. 241 et 242 du code de procédure pénale du 29 septembre 1977 CPP - E 4 20).</w:t>
      </w:r>
    </w:p>
    <w:p>
      <w:r>
        <w:rPr>
          <w:b/>
        </w:rPr>
        <w:t>E. 2</w:t>
      </w:r>
    </w:p>
    <w:p>
      <w:r>
        <w:t>L'appelant conclut à son acquittement.</w:t>
      </w:r>
    </w:p>
    <w:p>
      <w:r>
        <w:rPr>
          <w:b/>
        </w:rPr>
        <w:t>E. 2.1</w:t>
      </w:r>
    </w:p>
    <w:p>
      <w:r>
        <w:t>L'art. 123 du code pénal du 21 décembre 1937 (CP - RS 311.0)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w:t>
      </w:r>
    </w:p>
    <w:p>
      <w:r>
        <w:t>- 4/8 -</w:t>
      </w:r>
    </w:p>
    <w:p>
      <w:r>
        <w:rPr>
          <w:b/>
        </w:rPr>
        <w:t>E. 2.2</w:t>
      </w:r>
    </w:p>
    <w:p>
      <w:r>
        <w:t>Il est établi, à teneur du certificat médical du 9 mars 2009, que suite à l'altercation l'ayant opposée à l'appelant, la plaignante présentait des marques de lacérations diffuses sur le pourtour du cou, ainsi que des plaques rouges, atteintes constitutives des lésions corporelles simples de peu de gravité. L'appelant n'est guère crédible lorsqu'il affirme ne pas être l'auteur de ces lésions. Il ressort en effet des déclarations du témoin A______, qui corroborent celles de la plaignante, que lors de la dispute, l'appelant l'a violemment empoignée pour l'empêcher de quitter son logement, et non l'y contraindre comme il l'allègue, au point de déchirer certains de ses vêtements. Lors de l'audition de la plaignante, qui se trouvait dans un important état de stress, la police a également relevé que ses vêtements étaient déchirés, au niveau du col, et qu'elle présentait des traces rouges de doigts et des griffures sur le cou. Aucun élément au dossier ne permet de conclure que ces lésions auraient une autre origine que celle de l'agression dont a été victime la plaignante. L'appelant n'apporte au demeurant aucun élément propre à le disculper et les vols dont il déclare avoir été victime, ne sauraient justifier, d'autant moins rétroactivement, son comportement à l'égard de la plaignante. La Cour considère dès lors que l'appelant est à l'origine des lésions corporelles simples de peu de gravité subies par la plaignante, si bien que le jugement du Tribunal de police sera confirmé sur ce point.</w:t>
      </w:r>
    </w:p>
    <w:p>
      <w:r>
        <w:rPr>
          <w:b/>
        </w:rPr>
        <w:t>E. 3</w:t>
      </w:r>
    </w:p>
    <w:p>
      <w:r>
        <w:t>Reste à examiner si la peine infligée à l'appelant est justifiée.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Les critères énumérés, de manière non exhaustive, par cette disposition légale correspondent à ceux fixés par l'art. 63 aCP et la jurisprudence élaborée en application de cette ancienne disposition. Cette jurisprudence conserve toute sa valeur, de sorte que l'on peut continuer à s'y référer (arrêt du Tribunal fédéral 6B_992/2008 du 5 mars 2009 consid. 5.1). 3.1.2 Pour l'octroi du sursis au sens de l'art. 42 al. 1 CP, le juge doit poser un pronostic quant au comportement futur de l'auteur. La question de savoir si le</w:t>
      </w:r>
    </w:p>
    <w:p>
      <w:r>
        <w:t>- 5/8 -</w:t>
      </w:r>
    </w:p>
    <w:p>
      <w:r>
        <w:t>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3.1.3 Conformément à l'art. 42 al. 4 CP, le juge peut prononcer, en plus d'une peine assortie du sursis, une peine pécuniaire sans sursis ou une amende selon l'art. 106. Il s'agissait, dans le domaine de la délinquance de masse, d'offrir au juge la possibilité d'infliger une sanction perceptible. La règle vise en premier lieu à remédier à la problématique de la délimitation entre l'amende (pour les contraventions) et la peine pécuniaire avec sursis (pour les délits) (Message du Conseil fédéral, du 29 juin 2005, relatif à la modification du code pénal dans sa version du 13 décembre 2002 et du code pénal militaire dans sa version du 21 mars 2003, FF 2005 4425 ss, spéc. p. 4695, 4699 ss, 4705 ss). Les infractions de masse, punies d'une simple amende lorsqu'elles sont de gravité minime, doivent pouvoir être réprimées d'une sanction ferme, lorsqu'elles atteignent le seuil de gravité des délits. Dans cette mesure, soit dans le domaine de la criminalité la moins grave, l'art. 42 al. 4 CP tend à réaliser l'égalité de traitement dans la sanction (ATF 134 IV 82 consid. 8 p. 94-96). Cette disposition poursuit également des objectifs de prévention générale (ATF 134 IV 1 consid. 4.5.1 p. 8; arrêt du Tribunal fédéral 6B_152/2007 du 13 mai 2008 consid. 7.1.1 et 7.1.2).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(F. BOMMER, Die Sanktionen im neuen AT StGB - Ein Überblick, in: Revision des Allgemeinenen Teils des Strafgesetzbuches, Berne 2007, p. 35). Le juge fixe l'amende et la peine privative de liberté de substitution en tenant compte de la situation de l'auteur afin que la peine corresponde à la faute commise</w:t>
      </w:r>
    </w:p>
    <w:p>
      <w:r>
        <w:t>- 6/8 -</w:t>
      </w:r>
    </w:p>
    <w:p>
      <w:r>
        <w:t>(art. 106 al. 3 CP). La règle précise clairement que la capacité économique (« en tenant compte de la situation ») joue un rôle central pour la fixation de l'amende également, même si le juge dispose sur ce point d'un pouvoir d'appréciation plus étendu que dans le système des jours-amende. Le système de la fixation globale de l'amende se révèle ainsi en général moins lourd à mettre en œuvre, mais la nécessité de fixer dans le jugement une peine privative de liberté de substitution relativise notablement cet allégement. Le juge dispose, en ce qui concerne la fixation de la peine privative de liberté de substitution, d'un pouvoir d'appréciation plus étendu. Il y a cependant ceci de particulier que lorsqu'une telle peine doit être fixée pour une amende additionnelle au sens de l'art. 42 al. 4 CP, le juge a déjà fixé le montant du jour-amende pour la peine privative de liberté assortie du sursis, partant la capacité économique de l'auteur. Il apparaît donc adéquat d'utiliser le montant du jour-amende comme taux de conversion et de diviser l'amende additionnelle par ce montant (S. HEIMGARTNER, Basler Kommentar, Strafgesetzbuch I, 2e éd., Bâle 2007, art. 106 n. 16). La peine privative de liberté de substitution ne peut être inférieure à un jour (art. 106 al. 2 CP) et ce même lorsque le montant du jour-amende est supérieur au montant de l'amende. La loi prescrit en effet explicitement - contrairement à l'ancien droit (ATF 108 IV 1) - un minimum, d'une part, et, d'autre part, on ne verrait pas pourquoi le non-paiement fautif d'une amende additionnelle devrait rester impuni, alors que le même comportement, s'agissant d'une peine pécuniaire, aurait pour conséquence une peine privative de liberté de substitution (arrêt du Tribunal fédéral 6B_152/2007 précité consid. 7.1.3; R. BINGGELI, Die Geldstrafe, in: F. BÄNZIGER /A. HUBSCHMID / J. SOLLBERGER [Hrsg.], Zur Revision des Allgemeinen Teils des Schweizerischen Strafrechts und zum neuen materiellen Jugendstrafrecht, 2e éd., Berne 2006, p. 84). 3.2.1 La faute de l'appelant est relativement lourde, nonobstant la nature des lésions, de peu de gravité, subies par la plaignante, dès lors qu'il s'en est pris sans raison à l'intégrité corporelle de celle-ci, sans égard aux conséquences possibles de son comportement, ce qui dénote une agressivité mal maîtrisée. Les mobiles de l'appelant sont égoïstes. Ils trouvent sans doute leur origine dans la décision de la plaignante de quitter son service pour retourner vivre dans son pays d'origine. L'appelant, qui n'a pas collaboré à l'instruction, n'a pas non plus pris conscience du caractère répréhensible de ses actes, qu'il a persisté à contester. Il n'a présenté aucune excuse à la plaignante et ne peut se prévaloir d'aucune circonstance atténuante.</w:t>
      </w:r>
    </w:p>
    <w:p>
      <w:r>
        <w:t>- 7/8 -</w:t>
      </w:r>
    </w:p>
    <w:p>
      <w:r>
        <w:t>La peine pécuniaire de 30 jours-amende infligée à l'appelant par les premiers juges sera confirmée, à l'instar du montant du jour-amende, arrêté à CHF 30.-, qui tient compte des charges, respectivement des revenus de l'appelant qui est retraité. Au vu du seul antécédent judiciaire de l'appelant, d'une gravité relative, et de l'interdiction de la reformatio in pejus, le jugement du Tribunal de police sera également confirmé en tant qu'il met l'appelant au bénéfice du sursis et fixe le délai d'épreuve à 3 ans, soit à une durée moyenne suffisamment longue pour le dissuader de récidiver et l'amener à mieux maîtriser son agressivité. Pour les mêmes motifs, il n'y a pas lieu de révoquer le sursis accordé le 24 mai 2007 par le Tribunal de police à la peine pécuniaire de 5 jours-amende à CHF 30.- (art. 46 CP), point qui n'a pas été examiné par les premiers juges. 3.2.2 S'agissant de l'amende de CHF 200.- infligée à l'appelant à titre de sanction immédiate, elle sera également confirmée. Il se justifie en effet, sous l'angle de la prévention spéciale, que l'appelant prenne conscience du caractère illicite de ses actes. Le montant de l'amende est par ailleurs modéré, de sorte que celle-ci, combinée avec la peine pécuniaire avec sursis infligée à l'appelant, sanctionne de manière adéquate son comportement et tient compte correctement de la faute commise. Comme l'ont retenu les premiers juges, la peine privative de liberté de substitution, en cas de non-paiement fautif de l'amende, doit être arrêtée à 6 jours, eu égard au montant du jour-amende fixé à CHF 30.-, conformément aux principes jurisprudentiels rappelés ci-dessus.</w:t>
      </w:r>
    </w:p>
    <w:p>
      <w:r>
        <w:rPr>
          <w:b/>
        </w:rPr>
        <w:t>E. 4</w:t>
      </w:r>
    </w:p>
    <w:p>
      <w:r>
        <w:t>L'appelant, qui succombe, sera condamné aux frais de la procédure d'appel, qui comprendront un émolument de CHF 400.- (art. 97 al. 1 CPP). * * * * *</w:t>
      </w:r>
    </w:p>
    <w:p>
      <w:r>
        <w:t>- 8/8 -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