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ACJP/160/2007 vom 1. November 2006</w:t>
      </w:r>
    </w:p>
    <w:p>
      <w:r>
        <w:t>GE Cour de justice, 2006-11-01, FR</w:t>
      </w:r>
    </w:p>
    <w:p>
      <w:r>
        <w:rPr>
          <w:b/>
        </w:rPr>
        <w:t xml:space="preserve">Quelle: </w:t>
      </w:r>
      <w:r>
        <w:t>https://mcp.opencaselaw.ch/entscheid/ge_gerichte_ACJP_160_2007</w:t>
      </w:r>
    </w:p>
    <w:p>
      <w:r>
        <w:t>FR: GE_GERICHTE ACJP/160/2007 du 1 novembre 2006</w:t>
      </w:r>
    </w:p>
    <w:p>
      <w:r>
        <w:t>IT: GE_GERICHTE ACJP/160/2007 del 1 novembre 2006</w:t>
      </w:r>
    </w:p>
    <w:p>
      <w:pPr>
        <w:pStyle w:val="Heading2"/>
      </w:pPr>
      <w:r>
        <w:t>Erwägungen</w:t>
      </w:r>
    </w:p>
    <w:p>
      <w:r>
        <w:rPr>
          <w:b/>
        </w:rPr>
        <w:t>E. 1</w:t>
      </w:r>
    </w:p>
    <w:p>
      <w:r>
        <w:t>L'appel est recevable pour avoir été déposé selon la forme et dans le délai prescrits (art. 241 et 242 CPP), nonobstant l’absence de mention de la notification au Procureur général, lequel est réputé avoir appelé dans le délai légal sur la base d’un jugement notifié au plus tôt le 1er novembre 2006.</w:t>
      </w:r>
    </w:p>
    <w:p>
      <w:r>
        <w:t>Lorsqu’elle est saisie d’un appel contre un jugement du Tribunal de police, la Cour peut confirmer, réformer ou modifier le jugement (art. 246 al. 1 CPP). La procédure est recommencée « ab ovo » (REY, Procédure pénale genevoise, 2005, n. 1.1 ad art 246 CPP, avec référence au Message du Grand Conseil 1977 III 2863). La Cour ne peut, sur le seul appel du condamné, aggraver son sort (art. 246 al. 2 CPP; interdiction de la reformatio in peius); il s’agit toutefois là de la seule règle – inapplicable en l’espèce puisque l’appel émane du Procureur général – valant en matière de fixation de la peine. La Cour pourrait donc acquitter, le cas échéant, X______, comme il y a conclu. Une telle conclusion est donc recevable.</w:t>
      </w:r>
    </w:p>
    <w:p>
      <w:r>
        <w:rPr>
          <w:b/>
        </w:rPr>
        <w:t>E. 2.1</w:t>
      </w:r>
    </w:p>
    <w:p>
      <w:r>
        <w:t>Se rend coupable d’infraction à l’art. 19 ch. 1 LStup, celui qui, notamment, sans droit, transporte, offre, distribue, procure, possède ou détient des stupéfiants.</w:t>
      </w:r>
    </w:p>
    <w:p>
      <w:r>
        <w:t>Selon l'art. 19 ch. 2 let. a LStup, le cas est grave lorsque l’auteur sait ou ne peut ignorer que l’infraction porte sur une quantité de stupéfiants qui peut mettre en danger la santé de nombreuses personnes.</w:t>
      </w:r>
    </w:p>
    <w:p>
      <w:r>
        <w:t>Une quantité supérieure à 12 grammes d'héroïne pure est propre à mettre en danger la santé de nombreuses personnes (ATF 109 IV 143, consid. 3b). D’un point de vue subjectif, l’auteur doit savoir ou accepter que l’infraction porte sur une telle quantité (CORBOZ, Les infractions en droit suisse, 2002, vol. II, p. 781).</w:t>
      </w:r>
    </w:p>
    <w:p>
      <w:r>
        <w:rPr>
          <w:b/>
        </w:rPr>
        <w:t>E. 2.2</w:t>
      </w:r>
    </w:p>
    <w:p>
      <w:r>
        <w:t>En l’espèce, Y______ n’a pas contesté s’être rendu coupable d’infraction à l’art. 19 ch. 1 LStup par dol éventuel. Il ne pouvait en effet exclure la possibilité qu’il transporte des stupéfiants, et non uniquement des bijoux, compte tenu, notamment, de la rémunération qu’il devait percevoir, soit 2'000 fr. pour un simple trajet de moins de deux heures, qui ne s’explique pas pour un transport ordinaire, même de bijoux. Il conteste en revanche que la circonstance aggravante de la quantité puisse être retenue puisqu’il n’avait pas conscience des quantités transportées.</w:t>
      </w:r>
    </w:p>
    <w:p>
      <w:r>
        <w:t>Il convient d’admettre qu’en transportant de la drogue dans des sacs en plastique dont il n’a pas vérifié le contenu, Y______ a accepté que la quantité soit importante. En effet, il était invraisemblable que S______ lui demande de transporter une quantité insignifiante de stupéfiants sur une distance telle que celle</w:t>
      </w:r>
    </w:p>
    <w:p>
      <w:r>
        <w:t>- 7/12 -</w:t>
      </w:r>
    </w:p>
    <w:p>
      <w:r>
        <w:t>P/9455/2006 qui sépare Berne de Genève. Il ne pouvait donc s’agir que de quantités importantes, et non simplement de quelques doses dont le transport sur de longues distances ne répond à aucune justification.</w:t>
      </w:r>
    </w:p>
    <w:p>
      <w:r>
        <w:t>Ainsi, dans la mesure où la quantité de drogue pure transportée s’élève à plus de 400 gr. (1'112 gr. à 10% et 3 sachets de 500 gr. à 20%), Y______ doit être reconnu coupable d’infraction à l’art. 19 ch. 2 let. a LStup.</w:t>
      </w:r>
    </w:p>
    <w:p>
      <w:r>
        <w:rPr>
          <w:b/>
        </w:rPr>
        <w:t>E. 2.3</w:t>
      </w:r>
    </w:p>
    <w:p>
      <w:r>
        <w:t>X______ conteste quant à lui s’être rendu coupable des faits qui lui sont reprochés. Il soutient qu’il ignorait ce qui était transporté dans la voiture de son épouse et que seul Y______ a eu des contacts avec S______.</w:t>
      </w:r>
    </w:p>
    <w:p>
      <w:r>
        <w:t>Y______ a déclaré que X______ était parfaitement au courant qu’ils devaient transporter à Genève, contre rémunération, de la marchandise confiée par S______. On ne voit pas pour quels motifs Y______ aurait affirmé un tel fait si son ami n’était effectivement au courant de rien, sa propre participation n’étant nullement minimisée du fait de celle de son ami. Il apparait d’ailleurs crédible que Y______ et X______ se soient entendus pour que celui-ci mette à disposition son véhicule pour effectuer le transport, faute de quoi on ne comprendrait pas pourquoi Y______ – dont la voiture n’était pas en panne – aurait emprunté celle de X______ si celui-ci n’avait aucune implication dans l’affaire. Au surplus, sa contestation intégrale des faits qui lui sont reprochés démontre qu’il cherche à éviter toute implication dans ce qu’il savait être un transport illicite de stupéfiants. En effet, si Y______ lui avait effectivement dit que des bijoux se trouvaient dans la voiture, il n’aurait pas eu de raison de contester être au courant du transport de tels objets qui ne constitue pas, en soi, une infraction, contrairement au transport de stupéfiants. Enfin, les déclarations contradictoires de X______ – qui a d’abord déclaré qu’il ne savait pas pourquoi Y______ devait aller à Genève, puis qu’il devait y chercher des documents – tendent également à démontrer que les versions qu’il donne ne correspondent pas à la vérité. Il convient donc de retenir en définitive que X______ savait, ou à tout le moins avait admis l’éventualité que des stupéfiants soient transportés dans la voiture de son épouse.</w:t>
      </w:r>
    </w:p>
    <w:p>
      <w:r>
        <w:t>X______ sera par conséquent reconnu coupable d’infraction à l’art. 19 ch. 1 LStup.</w:t>
      </w:r>
    </w:p>
    <w:p>
      <w:r>
        <w:t>Pour les même motifs que pour Y______, il convient également d’admettre qu’il a accepté l’éventualité que la quantité qu’il transportait soit supérieure à 12 gr. purs de drogue compte tenu de la nature de ce qui leur était demandé, à savoir un transport entre deux villes, qui ne pouvait concerner que des quantités importantes et non simplement quelques doses.</w:t>
      </w:r>
    </w:p>
    <w:p>
      <w:r>
        <w:t>X______ sera donc également reconnu coupable d’infraction à l’art. 19 ch. 2 let. a LStup.</w:t>
      </w:r>
    </w:p>
    <w:p>
      <w:r>
        <w:t>- 8/12 -</w:t>
      </w:r>
    </w:p>
    <w:p>
      <w:r>
        <w:t>P/9455/2006</w:t>
      </w:r>
    </w:p>
    <w:p>
      <w:r>
        <w:rPr>
          <w:b/>
        </w:rPr>
        <w:t>E. 3</w:t>
      </w:r>
    </w:p>
    <w:p>
      <w:r>
        <w:t>La peine infligée aux accusés doit encore être examinée.</w:t>
      </w:r>
    </w:p>
    <w:p>
      <w:r>
        <w:rPr>
          <w:b/>
        </w:rPr>
        <w:t>E. 3.1</w:t>
      </w:r>
    </w:p>
    <w:p>
      <w:r>
        <w:t>Bien que les faits retenus à leur charge aient eu lieu avant le 1er janvier 2007, date de l'entrée en vigueur de la modification du 13 décembre 2002 du Code pénal suisse, il convient de se poser la question de l'application du nouveau droit.</w:t>
      </w:r>
    </w:p>
    <w:p>
      <w:r>
        <w:t>Cette modification est aussi applicable aux infractions commises avant la date de son entrée en vigueur, si l'auteur n'est mis en jugement qu'après cette date et si les nouvelles dispositions lui sont plus favorables que la loi en vigueur au moment de l'infraction (art. 2 al. 2 CP). Pour déterminer quel est le droit le plus favorable à l'accusé, il convient de comparer dans chaque cas d'espèce la peine prévue par la loi ancienne et la loi nouvelle et choisir la solution la plus favorable à l'accusé (TRECHSEL, Schweizerisches Strafgesetzbuch, Kurzkommentar, 1997, n. 11 ad art. 2).</w:t>
      </w:r>
    </w:p>
    <w:p>
      <w:r>
        <w:t>Le nouveau droit (art. 42 CP) prévoit une plus large accessibilité au sursis que l’ancien droit (art. 41 aCP). De plus, le Ministère public a réclamé le prononcé d’un peine ferme de plus de deux ans, laquelle exclut l’octroi du sursis, mais permet l’octroi d’un sursis partiel (art. 43 CP) qui n’existait pas sous l’ancien droit. Le nouveau droit est donc plus favorable aux accusés et il sera appliqué.</w:t>
      </w:r>
    </w:p>
    <w:p>
      <w:r>
        <w:rPr>
          <w:b/>
        </w:rPr>
        <w:t>E. 3.2</w:t>
      </w:r>
    </w:p>
    <w:p>
      <w:r>
        <w:t>La peine doit être fixée selon les critères de l’art. 47 CP, disposition qui pour l’essentiel reprend les principes de l’art. 63 aCP et codifie la jurisprudence y relative.</w:t>
      </w:r>
    </w:p>
    <w:p>
      <w:r>
        <w:rPr>
          <w:b/>
        </w:rPr>
        <w:t>E. 3.2.1</w:t>
      </w:r>
    </w:p>
    <w:p>
      <w:r>
        <w:t>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(art. 47 al. 2 CP; ATF 127 IV 101 consid. 2a).</w:t>
      </w:r>
    </w:p>
    <w:p>
      <w:r>
        <w:t>Si la quantité de drogue ne joue pas un rôle prépondérant, elle constitue néanmoins un élément important. Elle perd cependant de l’importance au fur et à mesure que l’on s’éloigne de la limite à partir de laquelle le cas doit être considéré comme grave au sens de l’art. 19 ch. 2 let. a LStup. Le type de drogue et sa pureté doivent aussi être pris en considération.</w:t>
      </w:r>
    </w:p>
    <w:p>
      <w:r>
        <w:t>Les mobiles du délinquant, c’est-à-dire les raisons qui ont poussé l’auteur à agir, ont également une influence sur la détermination de la peine. Il convient aussi de distinguer le cas de l’auteur qui est lui-même toxicomane et qui agit pour financer sa propre consommation, de celui qui participe à un trafic uniquement poussé par l’appât du gain. En ce qui concerne le transport de drogue, il est considéré que</w:t>
      </w:r>
    </w:p>
    <w:p>
      <w:r>
        <w:t>- 9/12 -</w:t>
      </w:r>
    </w:p>
    <w:p>
      <w:r>
        <w:t>P/9455/2006 l’acte de courrier pèse lourd dans l’organisation du trafic, en particulier lorsqu’il est orienté uniquement vers le gain facile, des indices concrets de la volonté délictueuse résultant notamment de la récompense promise.</w:t>
      </w:r>
    </w:p>
    <w:p>
      <w:r>
        <w:rPr>
          <w:b/>
        </w:rPr>
        <w:t>E. 3.2.2</w:t>
      </w:r>
    </w:p>
    <w:p>
      <w:r>
        <w:t>En l’espèce, la culpabilité des intimés doit être considérée comme importante. En effet, ils ont accepté d’effectuer un transport de marchandise dont ils ont admis la possibilité qu’il s’agisse de quantités importantes de stupéfiants. Cela ne les a toutefois pas dissuadés alors qu’ils auraient pourtant pu, s’ils l’avaient voulu, facilement vérifier le contenu des sacs en plastique et refuser leur transport au cas où leur contenu était illicite, ce qu’ils n’ont pas fait. De plus, ils ont été uniquement motivés par la perspective d’un gain facile et rapide, n’étant pas eux-mêmes consommateurs de stupéfiants. Enfin, les intimés se trouvaient dans une situation personnelle qui ne peut être qualifiée de particulièrement difficile, ni expliquer leur geste.</w:t>
      </w:r>
    </w:p>
    <w:p>
      <w:r>
        <w:t>Cela étant, la gravité de la culpabilité des deux intimés doit être appréciée différemment compte tenu des rôles qu’ils ont assumés, Y______ ayant eu un rôle plus actif que X______. En effet, le premier a organisé toute l’opération avec S______, avec lequel le second n’a eu aucun contact direct avéré, par téléphone portable en tout cas. Le second a uniquement mis à disposition son véhicule ce qui, même s’il s’agit d’un élément essentiel pour la commission de l’infraction retenue, dénote une participation moins intensive.</w:t>
      </w:r>
    </w:p>
    <w:p>
      <w:r>
        <w:t>Au vu de ce qui précède, Y______ sera condamné à la peine privative de liberté de 36 mois. X______ sera quant à lui condamné à la peine privative de liberté de 30 mois. Le jugement du Tribunal de police sera modifié en conséquence.</w:t>
      </w:r>
    </w:p>
    <w:p>
      <w:r>
        <w:rPr>
          <w:b/>
        </w:rPr>
        <w:t>E. 3.3</w:t>
      </w:r>
    </w:p>
    <w:p>
      <w:r>
        <w:t>Selon l'art. 43 al. 1 CP, le juge peut suspendre partiellement l’exécution d’une peine privative de liberté d’un an au moins et de trois ans au plus afin de tenir compte de façon appropriée de la faute de l’auteur. Cette disposition permet d’éviter le « tout ou rien » lorsque, notamment, le sursis ne peut être accordé compte tenu du fait que la peine infligée dépasse la limite fixée par l’art. 42 al. 1 CP. Cette mesure n'est qu'une possibilité à disposition du juge (KUHN, Le sursis et le sursis partiel, in : La nouvelle partie générale du Code pénal suisse, 2006, p. 225-226).</w:t>
      </w:r>
    </w:p>
    <w:p>
      <w:r>
        <w:t>En l’espèce, la peine infligée aux intimés est supérieure à deux ans et par conséquent, seule la question du sursis partiel se pose.</w:t>
      </w:r>
    </w:p>
    <w:p>
      <w:r>
        <w:t>Il apparaît que même si la culpabilité des intimés a été considérée comme importante, leur acte est néanmoins isolé. Il convient également de tenir compte du fait que si les intimés ont accepté d’effectuer le transport d’une quantité importante de drogue, il n’en reste pas moins que la quantité exacte ne leur était pas connue.</w:t>
      </w:r>
    </w:p>
    <w:p>
      <w:r>
        <w:t>- 10/12 -</w:t>
      </w:r>
    </w:p>
    <w:p>
      <w:r>
        <w:t>P/9455/2006</w:t>
      </w:r>
    </w:p>
    <w:p>
      <w:r>
        <w:t>Au vu de ces circonstances, un sursis partiel leur sera accordé à hauteur de la moitié des peines prononcées.</w:t>
      </w:r>
    </w:p>
    <w:p>
      <w:r>
        <w:rPr>
          <w:b/>
        </w:rPr>
        <w:t>E. 3.4</w:t>
      </w:r>
    </w:p>
    <w:p>
      <w:r>
        <w:t>Dans la mesure où les nouvelles dispositions du Code pénal ne consacrent plus l’expulsion judiciaire (cf. art. 55 aCP), il convient enfin d’annuler le jugement entrepris en tant que cette mesure a été prononcée à l’encontre de X______.</w:t>
      </w:r>
    </w:p>
    <w:p>
      <w:r>
        <w:rPr>
          <w:b/>
        </w:rPr>
        <w:t>E. 4</w:t>
      </w:r>
    </w:p>
    <w:p>
      <w:r>
        <w:t>Au vu de ce qui précède, le jugement entrepris sera, par souci de clarté, intégralement annulé.</w:t>
      </w:r>
    </w:p>
    <w:p>
      <w:r>
        <w:t>Vu l’issue de la procédure, les frais de procédure d’appel seront mis à la charge des condamnés. * * * * *</w:t>
      </w:r>
    </w:p>
    <w:p>
      <w:r>
        <w:t>- 11/12 -</w:t>
      </w:r>
    </w:p>
    <w:p>
      <w:r>
        <w:t>P/9455/2006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