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ACJC/9/2023 vom 5. Januar 2023</w:t>
      </w:r>
    </w:p>
    <w:p>
      <w:r>
        <w:t>GE Cour de justice, 2023-01-05, FR</w:t>
      </w:r>
    </w:p>
    <w:p>
      <w:r>
        <w:rPr>
          <w:b/>
        </w:rPr>
        <w:t xml:space="preserve">Quelle: </w:t>
      </w:r>
      <w:r>
        <w:t>https://mcp.opencaselaw.ch/entscheid/ge_gerichte_ACJC_9_2023</w:t>
      </w:r>
    </w:p>
    <w:p>
      <w:r>
        <w:t>FR: GE_GERICHTE ACJC/9/2023 du 5 janvier 2023</w:t>
      </w:r>
    </w:p>
    <w:p>
      <w:r>
        <w:t>IT: GE_GERICHTE ACJC/9/2023 del 5 gennaio 2023</w:t>
      </w:r>
    </w:p>
    <w:p>
      <w:pPr>
        <w:pStyle w:val="Heading2"/>
      </w:pPr>
      <w:r>
        <w:t>Volltext</w:t>
      </w:r>
    </w:p>
    <w:p>
      <w:r>
        <w:t>Le présent arrêt est communiqué aux parties par plis recommandés du 5 janvier 2023</w:t>
      </w:r>
    </w:p>
    <w:p>
      <w:r>
        <w:t>REPUBLIQUE ET</w:t>
      </w:r>
    </w:p>
    <w:p>
      <w:r>
        <w:t>CANTON DE GENEVE POUVOIR JUDICIAIRE C/19561/2021 ACJC/9/2023 ARRÊT DE LA COUR DE JUSTICE Chambre des baux et loyers DU JEUDI 5 JANVIER 2023</w:t>
      </w:r>
    </w:p>
    <w:p>
      <w:r>
        <w:t>Entre Monsieur A______, domicilié ______, appelant d'un jugement rendu par le Tribunal des baux et loyers le 18 novembre 2022, comparant en personne, et CAISSE DE PRÉVOYANCE B______, sise ______, intimée, comparant par Me Boris LACHAT, avocat, rue Saint-Ours 5, 1205 Genève, en l'étude duquel elle fait élection de domicile.</w:t>
      </w:r>
    </w:p>
    <w:p>
      <w:r>
        <w:t>- 2/4 -</w:t>
      </w:r>
    </w:p>
    <w:p>
      <w:r>
        <w:t>C/19561/2021 Vu le jugement JTBL/859/2022 rendu le 18 novembre 2022, par lequel le Tribunal des baux et loyers a condamné A______ à évacuer immédiatement de sa personne, de ses biens et de tout tiers les locaux commerciaux d'environ 210 m2 situés au 1er étage de l'immeuble sis 1______ [GE], et leurs dépendances (ch. 1 du dispositif), a autorisé la B______ à requérir, aux frais de A______, l'évacuation immédiate par la force publique de celui-ci dès l'entrée en force du jugement (ch. 2), a débouté les parties de toutes autres conclusions (ch. 3) et dit que la procédure était gratuite (ch. 4); Vu l'acte intitulé "recours" expédié le 26 décembre 2022 au greffe de la Cour de justice par A______ contre ce jugement, par lequel il conclut à l'annulation de celui-ci; qu'il conteste dans son acte le prononcé de l'évacuation, soulevant notamment une violation de son droit d'être entendu par les premiers juges et une notification incorrecte de la résiliation de son bail, de même que l'exécution immédiate de cette évacuation;</w:t>
      </w:r>
    </w:p>
    <w:p>
      <w:r>
        <w:t>Attendu EN FAIT qu'il sollicite, à titre préalable, la restitution avec effet immédiat de l'effet suspensif au recours jusqu'à droit jugé au fond et/ou jusqu'à ce qu'un accord soit entériné entre les occupants des locaux commerciaux et l'intimée; Qu'interpellée sur cette question, la bailleresse, par écriture du 2 janvier 2023, s'en est rapporté à justice quant à la requête d'effet suspensif;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 seule la voie du recours est ouverte contre les mesures d'exécution (art. 309 let. a et 319 let. a CPC);</w:t>
      </w:r>
    </w:p>
    <w:p>
      <w:r>
        <w:t>- 3/4 -</w:t>
      </w:r>
    </w:p>
    <w:p>
      <w:r>
        <w:t>C/19561/2021 Que le recours ne suspend pas la force de chose jugée, l'instance d'appel pouvant suspendre le caractère exécutoire (art. 325 al. 1 et 2 CPC); Qu'en l'espèce, la valeur litigieuse est supérieure à 10'000 fr. compte tenu du montant du loyer qui s'élève à 4'570 fr. par mois, de sorte que la voie de l'appel est ouverte contre le prononcé de l'évacuation; Que l'appelant qui plaide une violation de son droit d'être entendu et une notification incorrecte de la résiliation du bail remet en cause le principe même de l'évacuation, ce qui correspond à des conclusions d'appel; Qu'il sollicite également que l'exécution de l'évacuation soit, pour le moins, différé, ce qui correspond à des conclusions de recours; Que l'appelant remet ainsi en cause tant le prononcé de l'évacuation que les mesures d'exécution ordonnées par le Tribunal;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C/19561/2021</w:t>
      </w:r>
    </w:p>
    <w:p>
      <w:r>
        <w:t>PAR CES MOTIFS, La Présidente ad interim de la Chambre des baux et loyers :</w:t>
      </w:r>
    </w:p>
    <w:p>
      <w:r>
        <w:t>Constate la suspension de la force jugée et du caractère exécutoire du jugement JTBL/859/2022 rendu le 18 novembre 2022 par le Tribunal des baux et loyers dans la cause C/19561/2021. Dit que la requête d'effet suspensif est sans objet. Déboute les parties de toutes autres conclusions. Siégeant : Madame Jocelyne DEVILLE-CHAVANNE, présidente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