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ACJC/996/2022 vom 7. März 2022</w:t>
      </w:r>
    </w:p>
    <w:p>
      <w:r>
        <w:t>GE Cour de justice, 2022-03-07, FR</w:t>
      </w:r>
    </w:p>
    <w:p>
      <w:r>
        <w:rPr>
          <w:b/>
        </w:rPr>
        <w:t xml:space="preserve">Quelle: </w:t>
      </w:r>
      <w:r>
        <w:t>https://mcp.opencaselaw.ch/entscheid/ge_gerichte_ACJC_996_2022</w:t>
      </w:r>
    </w:p>
    <w:p>
      <w:r>
        <w:t>FR: GE_GERICHTE ACJC/996/2022 du 7 mars 2022</w:t>
      </w:r>
    </w:p>
    <w:p>
      <w:r>
        <w:t>IT: GE_GERICHTE ACJC/996/2022 del 7 marzo 2022</w:t>
      </w:r>
    </w:p>
    <w:p>
      <w:pPr>
        <w:pStyle w:val="Heading2"/>
      </w:pPr>
      <w:r>
        <w:t>Erwägungen</w:t>
      </w:r>
    </w:p>
    <w:p>
      <w:r>
        <w:rPr>
          <w:b/>
        </w:rPr>
        <w:t>E. 1.1</w:t>
      </w:r>
    </w:p>
    <w:p>
      <w:r>
        <w:t>Le jugement entrepris étant une décision sur opposition à séquestre, seule la voie du recours est ouverte (art. 278 al. 3 LP; art. 309 let. b ch. 6 et 319 let. a CPC). Le recours, écrit et motivé, doit être introduit auprès de l'instance de recours dans les dix jours à compter de la notification de la décision motivée (art. 278 al. 1 LP et 321 al. 2 CPC). Déposé selon la forme et dans le délai requis par la loi (art. 130, 131 et 142 al. 1 CPC), le recours est en l'espèce recevable.</w:t>
      </w:r>
    </w:p>
    <w:p>
      <w:r>
        <w:rPr>
          <w:b/>
        </w:rPr>
        <w:t>E. 1.2</w:t>
      </w:r>
    </w:p>
    <w:p>
      <w:r>
        <w:t>L'intimé a produit des pièces nouvelles avec sa duplique, soit un échange de courriels des 6 et 21 avril 2022.</w:t>
      </w:r>
    </w:p>
    <w:p>
      <w:r>
        <w:rPr>
          <w:b/>
        </w:rPr>
        <w:t>E. 1.2.1</w:t>
      </w:r>
    </w:p>
    <w:p>
      <w:r>
        <w:t>Par exception au principe général de l'art. 326 al. 1 CPC, l'art. 278 al. 3 LP prévoit que, dans le cadre d'un recours contre une décision rendue sur opposition à séquestre, les parties peuvent alléguer des faits nouveaux et produire, à l'appui de ces faits, des moyens de preuve nouveaux (art. 326 al. 2 CPC). Cette disposition vise tant les faits et moyens de preuves survenus après les dernières plaidoiries dans la procédure d'opposition au séquestre (vrais nova) que ceux qui existaient déjà avant lesdites plaidoiries (pseudo nova; ATF 145 III 324 consid. 6.6 et 6.6.4). L'invocation devant l'autorité de recours de pseudo nova n'est toutefois admissible que pour autant que les conditions de l'art. 317 al. 1 CPC, applicables par analogie, soient réalisées (ATF 145 III 324 consid. 6.6.2). Selon l'art. 317 al. 1 CPC, les faits et moyens de preuve nouveaux ne sont pris en compte que s'ils sont invoqués ou produits sans retard et s'ils ne pouvaient être invoqués ou produits devant la première instance bien que la partie qui s'en prévaut ait fait preuve de la diligence requise.</w:t>
      </w:r>
    </w:p>
    <w:p>
      <w:r>
        <w:rPr>
          <w:b/>
        </w:rPr>
        <w:t>E. 1.2.2</w:t>
      </w:r>
    </w:p>
    <w:p>
      <w:r>
        <w:t>En l'espèce, l'intimé justifie la production de l'échange de courriels d'avril 2022 par le fait qu'il lui a fallu du temps pour retrouver les coordonnées de la personne légitimée à le renseigner. Cela étant, outre le fait que son courriel est envoyé à une adresse générale de U______ et non à un destinataire particulier, l'intimé n'explique pas pour quel motif du temps lui a été nécessaire et il ne peut donc être retenu qu'il a fait preuve de la diligence requise. Les pièces nouvelles produites sont dès lors irrecevables; elles ne sont, en tout état de cause, pas déterminantes pour l'issue du litige.</w:t>
      </w:r>
    </w:p>
    <w:p>
      <w:r>
        <w:t>- 10/15 -</w:t>
      </w:r>
    </w:p>
    <w:p>
      <w:r>
        <w:t>C/15442/2021</w:t>
      </w:r>
    </w:p>
    <w:p>
      <w:r>
        <w:rPr>
          <w:b/>
        </w:rPr>
        <w:t>E. 1.3</w:t>
      </w:r>
    </w:p>
    <w:p>
      <w:r>
        <w:t>La procédure d'opposition au séquestre (art. 278 LP) est une procédure sommaire au sens propre, à savoir que les faits doivent être rendus simplement vraisemblables, que le juge examine sommairement le bien-fondé juridique de la prétention et qu'il rend une décision provisoire, ne réglant donc pas définitivement la situation juridique des parties et ne revêtant l'autorité de la chose jugée (ATF 138 III 232 consid. 4.1.1; arrêts du Tribunal fédéral 5A_317/2009 du 20 août 2009 consid. 3.2; 5A_364/2008 du 12 août 2008 consid. 5.2).</w:t>
      </w:r>
    </w:p>
    <w:p>
      <w:r>
        <w:rPr>
          <w:b/>
        </w:rPr>
        <w:t>E. 2</w:t>
      </w:r>
    </w:p>
    <w:p>
      <w:r>
        <w:t>Le recourant conteste que le Tribunal soit incompétent pour prononcer le séquestre visant les créances à l'encontre de W______SA. Il soutient, se fondant sur une "convention" du 20 octobre 2016 (pce 29 recourant), qu'il a été démontré que les polices émises par cette dernière seraient déposées dans les livres de la V______ (SUISSE) SA, ce qui fonderait la compétence des tribunaux genevois en application de la loi fédérale sur les titres intermédiés. Il ne ressort toutefois pas de ce document, qui indique constituer une letter of intent, que les polices seraient déposées et inscrites en les livres de la banque, ledit document se limitant à mentionner les polices dans le cadre du renouvellement d'un prêt. La prémisse du motif invoqué, à savoir le dépôt des polices auprès de la V______, n'ayant pas été rendue vraisemblable, il ne saurait être considéré, sur cette base, que les tribunaux genevois sont compétents pour prononcer le séquestre. Le recours n'est dès lors pas fondé à cet égard et il sera rejeté.</w:t>
      </w:r>
    </w:p>
    <w:p>
      <w:r>
        <w:rPr>
          <w:b/>
        </w:rPr>
        <w:t>E. 3</w:t>
      </w:r>
    </w:p>
    <w:p>
      <w:r>
        <w:t>Le recourant conteste ne pas avoir rendu vraisemblable qu'il détenait une créance à l'encontre de l'intimé et de son frère. Il se fonde essentiellement sur différents passages de décisions rendues par les tribunaux portugais</w:t>
      </w:r>
    </w:p>
    <w:p>
      <w:r>
        <w:rPr>
          <w:b/>
        </w:rPr>
        <w:t>E. 3.1.1</w:t>
      </w:r>
    </w:p>
    <w:p>
      <w:r>
        <w:t>Selon l'art. 272 LP, le séquestre est autorisé par le juge du for de la poursuite ou par le juge du lieu où se trouvent les biens, à condition que le créancier rende vraisemblable que sa créance existe (ch.1), qu’on est en présence d’un cas de séquestre (ch. 2) et qu’il existe des biens appartenant au débiteur (ch. 3). Comme cas de séquestre, l'art. 271 al. 1 ch. 4 LP prévoit notamment que le créancier de la dette échue et non garantie par gage peut requérir le séquestre des biens du débiteur lorsque le débiteur n’habite pas en Suisse et qu’il n’y a pas d’autre cas de séquestre, pour autant que la créance ait un lien suffisant avec la Suisse ou qu’elle se fonde sur une reconnaissance de dette au sens de l’art. 82 al. 1 LP.</w:t>
      </w:r>
    </w:p>
    <w:p>
      <w:r>
        <w:rPr>
          <w:b/>
        </w:rPr>
        <w:t>E. 3.1.2</w:t>
      </w:r>
    </w:p>
    <w:p>
      <w:r>
        <w:t>Le créancier séquestrant doit alléguer les faits et produire un titre (art. 254 al. 1 CPC) qui permette au juge du séquestre d'acquérir, au degré de la simple</w:t>
      </w:r>
    </w:p>
    <w:p>
      <w:r>
        <w:t>- 11/15 -</w:t>
      </w:r>
    </w:p>
    <w:p>
      <w:r>
        <w:t>C/15442/2021 vraisemblance, la conviction que la prétention existe pour le montant énoncé et qu'elle est exigible (ATF 138 III 636 consid. 4.3.2; arrêts du Tribunal fédéral 5A_560/2015 du 13 octobre 2015 consid. 3 et 5A_877/2011 du 5 mars 2012 consid. 2.1). S'agissant de l'application du droit, le juge procède à un examen sommaire du bien-fondé juridique, c'est-à-dire un examen qui n'est ni définitif, ni complet, au terme duquel il rend une décision provisoire (ATF 138 III 232 consid. 4.1.1; arrêt 5A_925/2012 du 5 avril 2013 consid. 9.2 et les références, publié in SJ 2013 I p. 463).</w:t>
      </w:r>
    </w:p>
    <w:p>
      <w:r>
        <w:rPr>
          <w:b/>
        </w:rPr>
        <w:t>E. 3.1.3</w:t>
      </w:r>
    </w:p>
    <w:p>
      <w:r>
        <w:t>Un jugement non susceptible de reconnaissance peut constituer un titre apte à établir la vraisemblance de la créance (arrêts du Tribunal fédéral 5A_501/2010 du 20 janvier 2011 consid. 2.3.2, obs. MABILLARD, in: RSPC 2011 p. 343; 5A_303/2011 du 27 septembre 2011 consid. 3.3). Il s'agit d'un titre (art. 254 al. 1 CPC; ATF 138 III 636 consid. 4.3.2) qu'il appartient au juge du séquestre d'apprécier; la vraisemblance de la créance ne se déduit pas de l'existence même du jugement étranger, mais, selon le Tribunal fédéral, il n'y a rien d'insoutenable à affirmer qu'une décision judiciaire passée en force jouit d'une force probante accrue par rapport à des pièces émanant des parties (arrêt du Tribunal fédéral 5A_832/2015 du 19 février 2016, consid. 4.1.2).</w:t>
      </w:r>
    </w:p>
    <w:p>
      <w:r>
        <w:rPr>
          <w:b/>
        </w:rPr>
        <w:t>E. 3.2</w:t>
      </w:r>
    </w:p>
    <w:p>
      <w:r>
        <w:t>En l'espèce, le recourant indique fonder le séquestre qu'il a requis sur un contrat de fiducie qu'il aurait conclu avec ses fils, dont il demande l'exécution, à savoir la restitution des avoirs transférés sur le compte de Q______ auprès de V______ et investis dans les contrats "W______ Asset Portfolio". Il expose encore devant la Cour que sa prétention consiste en l'exécution du contrat de fiducie, lequel prévoit notamment qu'à son échéance les biens remis à titre fiduciaire doivent être restitués au fiduciant. Le recourant n'a toutefois produit aucun titre à cet égard permettant de rendre vraisemblable le contenu dudit contrat, ni même son existence. Le seul document octroyant des pouvoirs à l'intimé et à son frère en relation avec Q______ est la procuration concédée à ces derniers par celle-ci, et non par le recourant. Seule Q______ pourrait donc, le cas échéant, faire valoir une prétention en lien avec cette procuration. Le recourant n'indique par ailleurs pas sur quelle base il réclame la restitution des avoirs et notamment, si celle-ci se fonde sur la résiliation du contrat, quand cette résiliation aurait eu lieu. Ce faisant, le recourant ne rend pas vraisemblable que la créance qu'il invoque serait exigible. Le recourant n'indique par ailleurs pas à quel droit le contrat de fiducie qu'il invoque serait soumis, ce qui empêche de déterminer quels seraient ses droits en matière de restitution. L'intimé a pour sa part produit un titre dont il ressort qu'il est l'ayant-droit économique des avoirs détenus sur le compte 2_____, sur lequel a notamment été</w:t>
      </w:r>
    </w:p>
    <w:p>
      <w:r>
        <w:t>- 12/15 -</w:t>
      </w:r>
    </w:p>
    <w:p>
      <w:r>
        <w:t>C/15442/2021 prélevé le montant ayant servi au paiement des primes des polices d'assurance. L'exactitude de ce titre doit être considérée, dans le cadre de la présente procédure, comme suffisamment vraisemblable en l'absence d'élément permettant de mettre en doute son contenu, étant rappelé qu'un formulaire A dont le contenu est inexact quant à la personne de l'ayant-droit économique, constitue un faux dans les titres au sens de l'art. 251 CP (cf. arrêts du Tribunal fédéral 6B_383/2019 du 8 novembre 2019 consid. 8.3.3.2 non publié aux ATF 145 IV 470; 6B_891/2018 du 31 octobre 2018 consid. 3.3.1), ce qui n'a pas été invoqué dans le cadre d'une procédure pénale. Aucun élément ne permet par ailleurs de rendre vraisemblable que ce sont les fonds qui se trouvaient jusqu'en 2011 sur le compte de Q______ qui ont été versés en 2013 sur le compte 2_____ ouvert par l'intimé et son frère. En effet, les fonds déposés sur le compte dont Q______ était titulaire, portant le numéro 1_____, ont été transférés en faveur d'autres sociétés et le compte de cette société auprès de la V______ a été clôturé le 2 août 2011. Ce n'est que près de deux ans après, le 12 juin 2013, que l'intimé et son frère ont ouvert un compte joint en leurs noms auprès de la V______, portant le numéro 2_____, qui a notamment servi pour payer la prime d'assurance. Dans ces circonstances, il n'est pas vraisemblable que les polices d'assurance ont été financées au moyen des avoirs détenus "sur le compte de Q______ auprès de V______ à Genève", comme le soutient le recourant, puisque celui-ci était fermé à l'époque de ce paiement et qu'un lien entre les avoirs figurant sur le compte de cette dernière et ceux figurant sur le compte 2_____ n'a pas été rendu vraisemblable. Dès lors, le fait que les avoirs de Q______ seraient le résultat du travail du recourant, comme celui-ci s'en prévaut à plusieurs reprises, n'est pas déterminant. Il en va de même du calcul effectué par le recourant afin de rendre vraisemblable que lesdits avoirs ne pouvaient avoir été accumulés par l'intimé et son frère au motif qu'il leur aurait fallu 142 ans, compte tenu de leurs revenus bruts annuels de 476'758, 96 EUR, pour accumuler la somme de 68'000'000 EUR. En tout état de cause, les faits invoqués par l'appelant à cet égard n'ont pas été allégués dans le cadre de la procédure de première instance et n'ont pas été constatés par le Tribunal dans son jugement, de sorte qu'ils sont irrecevables. Ensuite, seule Q______ pourrait se prévaloir, le cas échéant, d'une créance en restitution des fonds qui se trouvaient sur son compte, comme l'a relevé le Tribunal. Le recourant le conteste en soutenant que la créance qu'il invoque est celle de Q______ au motif que le mandat de fiducie portait sur la "détention de Q______ dans sa globalité" et que "Q______ elle-même faisait partie du mandat, tout comme ses avoirs". Cela étant, en l'absence d'explication permettant de comprendre ce que cette expression signifie véritablement, la créance que le recourant entendrait alors faire valoir ne serait pas une dette d'argent et elle ne pourrait dès lors faire l'objet d'un séquestre. Il ressort en outre des faits retenus par</w:t>
      </w:r>
    </w:p>
    <w:p>
      <w:r>
        <w:t>- 13/15 -</w:t>
      </w:r>
    </w:p>
    <w:p>
      <w:r>
        <w:t>C/15442/2021 le Tribunal que l'intimé et son frère se sont uniquement vus confier par Q______ une procuration afin d'ouvrir et gérer un compte bancaire au nom de cette dernière. L'étendue du mandat était dès lors limitée et ne s'étendait pas à Q______ "dans sa globalité". Le recourant se prévaut enfin du fait que les tribunaux portugais ont rendu dix jugements dans des causes l'opposant à l'intimé et à son frère et qu'il aurait à chaque fois obtenu gain de cause. Ces décisions ne portent toutefois pas directement sur les actifs de Q______, ni sur la police W______, mais concernent d'autres sociétés du groupe constitué par le recourant. Elles ne sont donc pas pertinentes dans le cadre du présent litige. En outre, à la lumière des explications fournies par le recourant, il convient de distinguer le cas de Q______ de celui des autres sociétés du D______. En effet, concernant ces dernières, il doit être compris des allégations du recourant qu'il a mandaté ses fils pour détenir à titre fiduciaire leurs actions à la suite du contrôle fiscal dont il faisait l'objet à partir de 2001. Pour Q______ en revanche, seule une procuration a été octroyée en 2011, soit bien plus tard, à l'intimé et à son frère, et ce afin uniquement d'ouvrir et gérer un compte bancaire au nom de la société auprès de V______, sans qu'ils en deviennent actionnaires. Les situations diffèrent donc largement, de sorte que les constations relatives aux unes ne s'appliquent pas nécessairement à l'autre. L'arrêt de la Cour d'appel de AA______ [Portugal] du 2 juillet 2020 indique certes que la "preuve a été apportée" que les fonds déposés sur les compte 2_____ constitueraient la fortune personnelle du recourant (p. 127). Cela étant, il ne ressort pas du passage de cet arrêt comment les tribunaux portugais sont parvenus à cette conclusion, ledit passage se limitant à l'affirmer. La référence à divers passages de ses écritures par le recourant ou aux pages 79 et suivantes de l'arrêt du 2 juillet 2020 n'est quant à elle pas suffisante, la constatation précitée se heurtant au contenu des documents d'ouverture du compte produits par l'intimé. Ainsi, sauf à considérer que la Cour de céans serait liée par les constatations de fait des décisions invoquées qui sont pourtant contredites par d'autres éléments figurant à la procédure, ce qui ne saurait être le cas, ces décisions ne permettent pas à elles seules et en l'absence d'éléments permettant d'asseoir ces constatations, de considérer que les fonds déposés sur les comptes 2_____, voire 6______, sont la propriété du recourant et qu'il dispose personnellement d'une créance en remboursement de ceux-ci.</w:t>
      </w:r>
    </w:p>
    <w:p>
      <w:r>
        <w:t>En définitive, au vu de l'ensemble des éléments précités, c'est sans violer le droit que le Tribunal a révoqué le séquestre. Le recours n'est pas fondé, de sorte qu'il sera rejeté.</w:t>
      </w:r>
    </w:p>
    <w:p>
      <w:r>
        <w:rPr>
          <w:b/>
        </w:rPr>
        <w:t>E. 4</w:t>
      </w:r>
    </w:p>
    <w:p>
      <w:r>
        <w:t>Les frais judiciaires, arrêtés à 3'000 fr. (art. 48 et 61 OELP), seront mis à la charge du recourant, qui succombe (art. 106 al. 1 CPC) et compensés avec l'avance fournie, qui reste acquise à l'Etat de Genève (art. 111 al. 1 CPC).</w:t>
      </w:r>
    </w:p>
    <w:p>
      <w:r>
        <w:t>- 14/15 -</w:t>
      </w:r>
    </w:p>
    <w:p>
      <w:r>
        <w:t>C/15442/2021</w:t>
      </w:r>
    </w:p>
    <w:p>
      <w:r>
        <w:t>Le recourant sera également condamné aux dépens de recours de l'intimé, arrêtés à 10'000 fr. (art. 21 LaCC, art. 85, 89 et 90 RTFMC). * * * * *</w:t>
      </w:r>
    </w:p>
    <w:p>
      <w:r>
        <w:t>- 15/15 -</w:t>
      </w:r>
    </w:p>
    <w:p>
      <w:r>
        <w:t>C/15442/2021 PAR CES MOTIFS, La Chambre civile : A la forme : Déclare recevable le recours interjeté le 18 mars 2022 par A______ contre le jugement OSQ/11/2022 rendu le 7 mars 2022 par le Tribunal de première instance dans la cause C/15442/2021-16 SQP. Au fond : Rejette ce recours. Déboute les parties de toutes autres conclusions. Sur les frais : Arrête les frais judicaires à 3'000 fr., les met à la charge de A______ et dit qu'ils sont compensés avec l'avance fournie, qui reste acquise à l'Etat de Genève. Condamne A______ à payer à B______ la somme de 10'000 fr. à titre de dépens de recours. Siégeant : Monsieur Laurent RIEBEN, président; Madame Fabienne GEINSINGER- MARIETHOZ, Monsieur Ivo BUETTI, juges; Madame Marie-Pierre GROSJEAN, greffière. Le président : Laurent RIEBEN</w:t>
      </w:r>
    </w:p>
    <w:p>
      <w:r>
        <w:t>La greffière : Marie-Pierre GROSJEAN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