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ACJC/992/2023 vom 21. Juli 2023</w:t>
      </w:r>
    </w:p>
    <w:p>
      <w:r>
        <w:t>GE Cour de justice, 2023-07-21, FR</w:t>
      </w:r>
    </w:p>
    <w:p>
      <w:r>
        <w:rPr>
          <w:b/>
        </w:rPr>
        <w:t xml:space="preserve">Quelle: </w:t>
      </w:r>
      <w:r>
        <w:t>https://mcp.opencaselaw.ch/entscheid/ge_gerichte_ACJC_992_2023</w:t>
      </w:r>
    </w:p>
    <w:p>
      <w:r>
        <w:t>FR: GE_GERICHTE ACJC/992/2023 du 21 juillet 2023</w:t>
      </w:r>
    </w:p>
    <w:p>
      <w:r>
        <w:t>IT: GE_GERICHTE ACJC/992/2023 del 21 luglio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316 fr. 20 en se fondant sur les tarifs communs en matière de reprographie (TC 8) et de réseaux numériques (TC 9).</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2.1.2</w:t>
      </w:r>
    </w:p>
    <w:p>
      <w:r>
        <w:t>Un acte est réputé notifié, en cas d'envoi recommandé, lorsque celui-ci n'a pas été retiré : à l'expiration d'un délai de sept jours à compter de l'échec de la remise, si le destinataire devait s'attendre à recevoir la notification (art. 138 al. 2 let. a CPC).</w:t>
      </w:r>
    </w:p>
    <w:p>
      <w:r>
        <w:t>- 5/7 -</w:t>
      </w:r>
    </w:p>
    <w:p>
      <w:r>
        <w:t>C/22237/2022</w:t>
      </w:r>
    </w:p>
    <w:p>
      <w:r>
        <w:rPr>
          <w:b/>
        </w:rPr>
        <w:t>E. 2.1.3</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2.1.4</w:t>
      </w:r>
    </w:p>
    <w:p>
      <w:r>
        <w:t>Le débiteur d'une obligation exigible est mis en demeure par l'interpellation du créancier (art. 102 al. 1 CO). Le débiteur qui est en demeure pour le paiement d'une somme d'argent doit l'intérêt moratoire à 5% l'an (art. 104 al. 1 CO et art. 62 al. 2 LDA). 2.2.1 En l'espèce, les plis du greffe de la Cour par lesquels la demande en paiement de PROLITTERIS a été notifiée à la défenderesse et un délai pour répondre lui a été imparti doivent être considérés comme ayant été valablement notifiés à l'échéance du délai de garde à La Poste. La défenderesse devait en effet s'attendre à recevoir une notification, dans la mesure où elle avait reçu les factures de la demanderesse, ainsi que la mise en demeure du 16 août 2022, auxquelles elle n'avait donné aucune suite. 2.2.2 En l'espèce, la demanderesse a exposé que la défenderesse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La défenderesse n'ayant pas répondu à la demande, les faits qui y sont allégués ne sont pas contestés et les chiffres retenus par la demanderesse et le mode de calcul ne sont ainsi pas critiqués. Ils seront dès lors retenus par la Cour, aucun élément ni pièce ne démontrant en particulier que le nombre d'employés retenu par la demanderesse serait supérieur à la réalité.</w:t>
      </w:r>
    </w:p>
    <w:p>
      <w:r>
        <w:t>- 6/7 -</w:t>
      </w:r>
    </w:p>
    <w:p>
      <w:r>
        <w:t>C/22237/2022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 payer, à titre de redevances pour les années 2020 et 2021, la somme totale de 316 fr. 20, avec intérêts à 5% l'an depuis le 29 août 2022, conformément aux conclusions de la demanderesse.</w:t>
      </w:r>
    </w:p>
    <w:p>
      <w:r>
        <w:rPr>
          <w:b/>
        </w:rPr>
        <w:t>E. 3</w:t>
      </w:r>
    </w:p>
    <w:p>
      <w:r>
        <w:t>Les 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 * * * * *</w:t>
      </w:r>
    </w:p>
    <w:p>
      <w:r>
        <w:t>- 7/7 -</w:t>
      </w:r>
    </w:p>
    <w:p>
      <w:r>
        <w:t>C/22237/2022 PAR CES MOTIFS, La Chambre civile : A la forme : Déclare recevable la demande en paiement formée par PROLITTERIS, COOPERATIVE SUISSE POUR LES DROITS D'AUTEUR DE LITTERATURE ET D'ART contre A______ SA. Au fond : Condamne A______ SA à payer à PROLITTERIS, COOPERATIVE SUISSE POUR LES DROITS D'AUTEUR DE LITTERATURE ET D'ART, la somme de 316 fr. 20, avec intérêts à 5% l'an depuis le 29 août 2022.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COOPERATIVE SUISSE POUR LES DROITS D'AUTEUR DE LITTERATURE ET D'ART, 300 fr. à titre de remboursement des frais judiciaires et 300 fr. à titre de dépens. Siégeant : Madame Paola CAMPOMAGNANI, présidente; Monsieur Laurent RIEBEN et Madame Nathalie RAPP, juges; Madame Gladys REICHENBACH, greffière. La présidente : Paola CAMPOMAGNANI</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