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ACJC/98/2021 vom 27. Januar 2021</w:t>
      </w:r>
    </w:p>
    <w:p>
      <w:r>
        <w:t>GE Cour de justice, 2021-01-27, FR</w:t>
      </w:r>
    </w:p>
    <w:p>
      <w:r>
        <w:rPr>
          <w:b/>
        </w:rPr>
        <w:t xml:space="preserve">Quelle: </w:t>
      </w:r>
      <w:r>
        <w:t>https://mcp.opencaselaw.ch/entscheid/ge_gerichte_ACJC_98_2021</w:t>
      </w:r>
    </w:p>
    <w:p>
      <w:r>
        <w:t>FR: GE_GERICHTE ACJC/98/2021 du 27 janvier 2021</w:t>
      </w:r>
    </w:p>
    <w:p>
      <w:r>
        <w:t>IT: GE_GERICHTE ACJC/98/2021 del 27 gennaio 2021</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applicable en procédure sommaire (art. 142 al. 1 et 3, 248 let. d et 314 al. 1 CPC), à l'encontre d'une ordonnance rendue sur mesures provisionnelles (art. 308 al. let. b CPC) qui statue sur une provisio ad litem de plus de 10'000 fr. (art. 308 al. 2 CPC).</w:t>
      </w:r>
    </w:p>
    <w:p>
      <w:r>
        <w:rPr>
          <w:b/>
        </w:rPr>
        <w:t>E. 1.2</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1.3</w:t>
      </w:r>
    </w:p>
    <w:p>
      <w:r>
        <w:t>La présente cause, portant exclusivement sur la provisio ad litem, est soumise aux maximes de disposition (art. 58 al. 1 CPC; ATF 128 III 411 consid. 3.2.2; arrêt du Tribunal fédéral 5A_693/2007 du 18 février 2008 consid. 6) et inquisitoire limitée (art. 272 CPC par renvoi de l'art. 276 al. 1 CPC; ATF 129 III 417 consid. 2.1.2; arrêts du Tribunal fédéral 5A_386/2014 du 1er décembre 2014</w:t>
      </w:r>
    </w:p>
    <w:p>
      <w:r>
        <w:t>- 6/11 -</w:t>
      </w:r>
    </w:p>
    <w:p>
      <w:r>
        <w:t>C/28212/2019 consid. 6.2, 5A_757/2013 du 14 juillet 2014 consid. 2.1 et 5A_574/2013 du 9 octobre 2013).</w:t>
      </w:r>
    </w:p>
    <w:p>
      <w:r>
        <w:rPr>
          <w:b/>
        </w:rPr>
        <w:t>E. 1.4</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toutes les pièces nouvelles produites par l’intimé en appel (à l’exception des pièces déjà présentes au dossier de première instance) se rapportent à des faits survenus postérieurement à la date à laquelle le Tribunal a gardé la cause à juger sur la provisio ad litem, le 11 mai 2020, de sorte qu’elles sont recevables. Il en va de même de celle produite par l’appelante.</w:t>
      </w:r>
    </w:p>
    <w:p>
      <w:r>
        <w:rPr>
          <w:b/>
        </w:rPr>
        <w:t>E. 2</w:t>
      </w:r>
    </w:p>
    <w:p>
      <w:r>
        <w:t>L'appelante reproche au Tribunal de ne pas lui avoir octroyé de provisio ad litem. Elle soutient ne bénéficier que d'un faible disponible mensuel, lequel ne devrait pas servir à financier les frais du procès.</w:t>
      </w:r>
    </w:p>
    <w:p>
      <w:r>
        <w:rPr>
          <w:b/>
        </w:rPr>
        <w:t>E. 2.1</w:t>
      </w:r>
    </w:p>
    <w:p>
      <w:r>
        <w:t>L'obligation d'une partie de faire à l'autre l'avance des frais du procès pour lui permettre de sauvegarder ses intérêts découle du devoir général d'entretien et d'assistance des conjoints (art. 163 CC ;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w:t>
      </w:r>
    </w:p>
    <w:p>
      <w:r>
        <w:t>- 7/11 -</w:t>
      </w:r>
    </w:p>
    <w:p>
      <w:r>
        <w:t>C/28212/2019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w:t>
      </w:r>
    </w:p>
    <w:p>
      <w:r>
        <w:rPr>
          <w:b/>
        </w:rPr>
        <w:t>E. 2.2</w:t>
      </w:r>
    </w:p>
    <w:p>
      <w:r>
        <w:t>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 ; art. 26 let. f LIPP). Par pension alimentaire imposable chez l'(ex)-conjoint bénéficiaire (et déductible par le débiteur), on entend la rente d'entretien en espèces. Les prestations périodiques en nature supportées par l'époux astreint à verser des aliments lui sont assimilées. Sont également imposables (respectivement déductibles), à titre de pension alimentaire, les prestations périodiques sous forme de paiements indirects, à savoir le règlement, par le débiteur de l’entretien, de charges telles que le loyer et les primes d’assurance maladie dus par le créancier de l’entretien (JAQUES, Impôt fédéral direct, Commentaire romand, 2017, n. 46-47 ad art. 23 LIFD; Circulaire n° 30 de l'Administration fédérale des contributions du 21 décembre 2010 sur l'imposition des époux et de la famille selon la LIFD, n. 14.1.2 et 14.2.2). Par contributions d'entretien d'enfant déductibles (respectivement imposables), on entend les prestations périodiques, à savoir les contributions versées en espèces directement au parent bénéficiaire ainsi que les paiements indirects, soit le règlement, par le parent astreint à verser des contributions d'entretien, de charges telles que les primes d'assurance-maladie et/ou les frais d'écolage de l'enfant</w:t>
      </w:r>
    </w:p>
    <w:p>
      <w:r>
        <w:t>- 8/11 -</w:t>
      </w:r>
    </w:p>
    <w:p>
      <w:r>
        <w:t>C/28212/2019 (JAQUES, op. cit., n. 38 ad art. 33 LIFD). A cet égard, le Tribunal fédéral a jugé que le père divorcé - astreint par convention ratifiée par le juge à verser à la mère une contribution périodique en espèces aux fins d'entretien de leur fille mineure et à assumer en sus les frais liés à la formation de celle-ci dans un institut privé - fournissait, en réglant directement l'écolage à cet institut, des contributions d'entretien prenant la forme de paiements indirects, imposables auprès de la mère à l'instar de la pension en espèces (arrêt du Tribunal fédéral 2C_1008/2013 du 6 juin 2014 consid. 2.3.2).</w:t>
      </w:r>
    </w:p>
    <w:p>
      <w:r>
        <w:rPr>
          <w:b/>
        </w:rPr>
        <w:t>E. 2.3</w:t>
      </w:r>
    </w:p>
    <w:p>
      <w:r>
        <w:t>En l'espèce, il ressort de la procédure que l'appelante n'exerce aucune activité lucrative. Elle a allégué, ce qui n'a pas été contesté par l'intimé, que le train de vie du couple durant la vie commune était élevé. C'est par conséquent à juste titre, sur la base de cet élément, que le Tribunal a tenu compte de certaines dépenses élargies dans le budget de l'épouse, telles que les frais de téléphonie et Internet en 176 fr. et de SIG en 100 fr. (bien qu'un montant forfaitaire soit déjà compris dans l'entretien de base OP pour ces postes), ainsi que les frais de voiture en 500 fr., les cours de sport en 200 fr. et les recherches d'emploi en 100 fr. Contrairement à ce que soutient l'intimé, le fait que ce dernier se soit acquitté, vraisemblablement à la fin de l'année 2019, simultanément au dépôt de la requête de mesures protectrices de l'union conjugale, des dernières factures relatives aux assurances et à l'impôt de la voiture ne modifie pas ce qui précède, dans la mesure où ces frais devront, à l'avenir, être acquittés par l'épouse grâce à la pension de 6'000 fr. que son époux lui verse depuis le mois de mars 2020, ce qui n'est pas contesté en tant que tel par l'intimé, qui n'indique au demeurant pas qu'il prendra ces dépenses à sa charge. S'agissant de la charge fiscale de l'épouse, il résulte de la loi et de la jurisprudence précitée que celle-ci doit être évaluée en tenant compte des paiements indirects effectués par l'intimé pour son épouse et sa fille, et non uniquement des contributions versées en espèces. Partant, comme l'expose à juste titre l'appelante, les impôts doivent être estimés en comptabilisant la pension de 6'000 fr. mais également le loyer de l'épouse (dont il résulte des pièces versées en première instance qu'il se monte à 3'800 fr. par mois), la prime LAMal de l'épouse (585 fr. 85) et les charges de l'enfant acquittées directement par son père (804 fr. 65). Les impôts de l'épouse peuvent par conséquent être arrêtés à environ 2'000 fr. au moyen de la calculette disponible sur le site de l'Administration fiscale genevoise, étant précisé qu'il n'y a pas lieu, contrairement à ce que soutient l'appelante, de tenir compte, au stade des mesures provisionnelles, d'une somme de 1'000 fr. à titre de part à l'excédent familial. Là encore, il semble prématuré de considérer que le non-paiement par l'épouse d'acomptes provisionnels en 2020 doive être interprété comme une volonté de cette dernière ne pas payer ses impôts. L'absence de paiement semble plutôt procéder d'une désorganisation de l'épouse, qui a tardé à prendre ses dispositions auprès de l'Administration fiscale cantonale.</w:t>
      </w:r>
    </w:p>
    <w:p>
      <w:r>
        <w:t>- 9/11 -</w:t>
      </w:r>
    </w:p>
    <w:p>
      <w:r>
        <w:t>C/28212/2019 Il sera, partant, tenu compte de cette charge, dont il n'est au demeurant pas allégué qu'elle serait réglée par l'époux. Il résulte des considérations qui précèdent que les charges mensuelles de l'épouse peuvent être arrêtées, au stade de la vraisemblance, à 4'734 fr. 15, comprenant son entretien de base OP augmenté de 20% (1'620 fr.), sa prime d'assurance-ménage (38 fr. 15), ses frais de téléphonie et Internet (176 fr.), ses frais SIG (100 fr.), ses frais de voiture (500 fr.), ses cours de sport (200 fr.), ses frais de recherche de travail (100 fr.) et sa charge fiscale (estimation; 2'000 fr.). L'appelante doit toutefois également faire face aux charges de l'enfant, qui vit avec elle, en particulier son entretien de base OP de 720 fr. Il s'ensuit qu'après couverture de ses propres charges et de l'entretien courant de l'enfant, l'épouse ne bénéficie que d'un solde disponible d'environ 550 fr. par mois (6'000 fr. – 4'734 fr. 15 – 720 fr. = 545 fr. 85). Or, eu égard à la complexité de la procédure, qui s'annonce longue et coûteuse vu le nombre d’allégués de l’intimé et de pièces produites, cet excédent ne lui permet pas de s'acquitter des frais prévisibles de justice et des honoraires d'avocat dans un délai de un à deux ans. Comme l'indique toutefois l'intimé, il résulte de la procédure que l'appelante dispose d'une certaine fortune, puisqu'elle était détentrice de plusieurs comptes bancaires au 31 décembre 2018, dont les avoirs s'élevaient à environ 200'000 fr. A cet égard, l'appelante ne rend tout d’abord pas vraisemblable l'existence d'un prêt accordé par sa mère, lequel viendrait diminuer sa fortune d'environ 70'000 fr., étant précisé que le simple fait qu'il en soit fait mention dans la déclaration fiscale ne paraît pas suffisant. Elle n'établit également pas, même sous l'angle de la vraisemblance, être dans l'incapacité de récupérer les avoirs investis au Japon, de sorte que, nullement documentés, ces allégués ne sauraient être pris en considération. Partant, il sera retenu que l'appelante est en mesure, au moyen de ses revenus et de sa fortune, de faire face aux frais du procès de séparation. C'est par conséquent à juste titre, compte tenu de la situation financière de l'appelante, que le Tribunal a refusé de lui octroyer une provisio ad litem pour la procédure de première instance, ce quand bien même son mari serait en mesure de lui servir une telle prestation ou se trouverait en meilleure santé économique, la disparité des situations financières des époux n'étant pas déterminante.</w:t>
      </w:r>
    </w:p>
    <w:p>
      <w:r>
        <w:rPr>
          <w:b/>
        </w:rPr>
        <w:t>E. 3</w:t>
      </w:r>
    </w:p>
    <w:p>
      <w:r>
        <w:t>L'appelante sollicite l'octroi d'une provisio ad litem pour la procédure d'appel.</w:t>
      </w:r>
    </w:p>
    <w:p>
      <w:r>
        <w:rPr>
          <w:b/>
        </w:rPr>
        <w:t>E. 3.1</w:t>
      </w:r>
    </w:p>
    <w:p>
      <w:r>
        <w:t>Il a été jugé, dans le cadre d'une procédure de divorce, que lorsque la procédure arrive à son terme, le tribunal ne peut plus statuer sur l'octroi d'une</w:t>
      </w:r>
    </w:p>
    <w:p>
      <w:r>
        <w:t>- 10/11 -</w:t>
      </w:r>
    </w:p>
    <w:p>
      <w:r>
        <w:t>C/28212/2019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w:t>
      </w:r>
    </w:p>
    <w:p>
      <w:r>
        <w:rPr>
          <w:b/>
        </w:rPr>
        <w:t>E. 3.2</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rPr>
          <w:b/>
        </w:rPr>
        <w:t>E. 3.3</w:t>
      </w:r>
    </w:p>
    <w:p>
      <w:r>
        <w:t>Les frais judiciaires de la procédure d'appel seront fixés à 500 fr. (art. 31 et 37 RTFMC. Vu l'issue du litige, ils seront mis à la charge de l'appelante (art. 95, 104 al. 1, 105, 106 al. 1 CPC). Cette dernière sera, par conséquent, condamnée à payer la somme de 500 fr. aux Services financiers du Pouvoir judiciaire. Compte tenu de la nature du litige et par équité, chaque partie supportera ses propres dépens d'appel (art. 107 al. 1 let. c CPC).</w:t>
      </w:r>
    </w:p>
    <w:p>
      <w:r>
        <w:rPr>
          <w:b/>
        </w:rPr>
        <w:t>E. 3.4</w:t>
      </w:r>
    </w:p>
    <w:p>
      <w:r>
        <w:t>Pour les mêmes motifs qui précèdent (cf. supra consid. 2.3), il ne se justifie pas d'octroyer une provisio ad litem pour la procédure d'appel. L'appelante sera, en conséquence, déboutée de sa requête de provisio ad litem.</w:t>
      </w:r>
    </w:p>
    <w:p>
      <w:r>
        <w:rPr>
          <w:b/>
        </w:rPr>
        <w:t>E. 3.5</w:t>
      </w:r>
    </w:p>
    <w:p>
      <w:r>
        <w:t>Enfin, l’appelante ayant pu procéder en appel sans verser d’avance de frais, sa conclusion préalable en suspension du délai pour ce faire est devenue sans objet. * * * * *</w:t>
      </w:r>
    </w:p>
    <w:p>
      <w:r>
        <w:t>- 11/11 -</w:t>
      </w:r>
    </w:p>
    <w:p>
      <w:r>
        <w:t>C/28212/2019</w:t>
      </w:r>
    </w:p>
    <w:p>
      <w:r>
        <w:t>PAR CES MOTIFS, La Chambre civile : A la forme : Déclare recevable l'appel interjeté le 2 juin 2020 par A______ contre le chiffre 1 du dispositif de l'ordonnance OTPI/299/2020 rendue le 19 mai 2020 par le Tribunal de première instance dans la cause C/28212/2019-20. Au fond : Confirme l'ordonnance entreprise. Déboute les parties de toutes autres conclusions. Sur les frais : Arrête les frais judiciaires d'appel à 500 fr. et les met à la charge de A______. Condamne A______ à verser la somme de 500 fr. aux Services financiers du Pouvoir judiciaire. Dit que chaque partie supporte ses propres dépens d'appel. Siégeant : Madame Jocelyne DEVILLE-CHAVANNE, présidente ; Madame Verena PEDRAZZINI RIZZI et Madame Nathalie LANDRY-BARTHE, juges ;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