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ACJC/98/2015 vom 3. Februar 2015</w:t>
      </w:r>
    </w:p>
    <w:p>
      <w:r>
        <w:t>GE Cour de justice, 2015-02-03, FR</w:t>
      </w:r>
    </w:p>
    <w:p>
      <w:r>
        <w:rPr>
          <w:b/>
        </w:rPr>
        <w:t xml:space="preserve">Quelle: </w:t>
      </w:r>
      <w:r>
        <w:t>https://mcp.opencaselaw.ch/entscheid/ge_gerichte_ACJC_98_2015</w:t>
      </w:r>
    </w:p>
    <w:p>
      <w:r>
        <w:t>FR: GE_GERICHTE ACJC/98/2015 du 3 février 2015</w:t>
      </w:r>
    </w:p>
    <w:p>
      <w:r>
        <w:t>IT: GE_GERICHTE ACJC/98/2015 del 3 febbraio 2015</w:t>
      </w:r>
    </w:p>
    <w:p>
      <w:pPr>
        <w:pStyle w:val="Heading2"/>
      </w:pPr>
      <w:r>
        <w:t>Volltext</w:t>
      </w:r>
    </w:p>
    <w:p>
      <w:r>
        <w:t>Le présent arrêt est communiqué aux parties par plis recommandés du 3 février 2015.</w:t>
      </w:r>
    </w:p>
    <w:p>
      <w:r>
        <w:t>REPUBLIQUE ET</w:t>
      </w:r>
    </w:p>
    <w:p>
      <w:r>
        <w:t>CANTON DE GENEVE POUVOIR JUDICIAIRE C/2729/2014 ACJC/98/2015 ARRÊT DE LA COUR DE JUSTICE Chambre civile DU MERCREDI 28 JANVIER 2015</w:t>
      </w:r>
    </w:p>
    <w:p>
      <w:r>
        <w:t>Entre A______, domiciliée ______, ______ (GE), appelante d'une ordonnance rendue par la 10ème Chambre du Tribunal de première instance de ce canton le 24 novembre 2014, comparant par Me Stéphane Rey, avocat, 3, rue Michel-Chauvet, 1208 Genève, en l'étude duquel elle fait élection de domicile aux fins des présentes, et B______, domicilié ______, ______ (GE), intimé, comparant par Me Francine Rieker Varin, avocate, 10, rue de l'Arquebuse, 1204 Genève, en l'étude de laquelle il fait élection de domicile.</w:t>
      </w:r>
    </w:p>
    <w:p>
      <w:r>
        <w:t>- 2/5 -</w:t>
      </w:r>
    </w:p>
    <w:p>
      <w:r>
        <w:t>C/2729/2014 Vu, EN FAIT, l'ordonnance OTPI/1529/2014 du 24 novembre 2014, notifiée à A______ le lendemain, aux termes de laquelle le Tribunal de première instance, statuant sur mesures provisionnelles dans le cadre du divorce, a modifié les chiffres 4 à 6 et annulé les chiffres 5 et 7 du dispositif du jugement sur mesures protectrices rendu le 25 novembre 2011 (ch. 6), et, notamment, fixé la contribution mensuelle à l'entretien due dès le 1er août 2013 par B______ à A______ à 2'500 fr. (ch. 1) et condamné cette dernière à restituer à son mari la somme de 24'000 fr. à titre de trop perçu de contributions d'entretien (ch. 2); Vu l'appel déposé le 5 décembre 2014 par A______ au greffe de la Cour de justice par lequel elle conteste les chiffres 1, 6 et 7 de l'ordonnance précitée et demande que le chiffre 6 du jugement du 25 novembre 2011 soit maintenu; Vu la demande d'octroi de l'effet suspensif formée par l'appelante, celle-ci exposant que son minimum vital n'est plus couvert; Qu'invité à se déterminer sur la requête d'effet suspensif, B______ s'y oppose, faisant valoir que l'appelante ne risque pas de subir un préjudice difficilement réparable, dès lors que l'ordonnance querellée la place dans la même situation que celle qui était la sienne avant l'octroi de la rente AI en sa faveur et que la fortune de l'appelante lui permet de rembourser le trop perçu; que si l'appel devait être admis, le montant versé à tort pourrait être compensé par l'appelante; que, par ailleurs, compte tenu du jugement de divorce prononcé le 15 décembre 2014, qui tient compte de la somme de 24'000 fr. au titre de la liquidation du régime matrimonial, le paiement de celle-ci n'interviendra pas avant l'exécution du jugement de divorce; qu'enfin, le jugement de divorce ne prévoit plus aucune contribution en faveur de l'appelante; Que le jugement sur mesures protectrices a arrêté, d'entente entre les parties, la contribution en faveur de l'épouse à 4'000 fr. par mois à compter du 1er janvier 2013; Que, depuis le 1er décembre 2012, l'appelante perçoit une rente d'invalidité s'élevant actuellement à 1'565 fr. par mois et assume des charges incompressibles, arrêtées par le Tribunal à 4'010 fr. 55 par mois (1'200 fr. minimum de base OP, 2'200 fr. loyer, 540 fr. 55 assurance-accidents et maladie, 70 fr. transports publics);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C/2729/2014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l'appelante soutient que le montant de 2'500 fr. par mois ne lui permet pas de couvrir ses charges incompressibles; Qu'au montant de 4'010 fr. 50 arrêté par le Tribunal à ce titre, elle fait valoir qu'il convient de rajouter 122 fr. 85 de frais médicaux non couverts et 357 fr. 30 de prime d'assurance complémentaire ainsi que 970 fr. d'impôts; Que, prima facie et sans préjudice de l'examen au fond, il paraît vraisemblable, au vu des importants problèmes de santé de l'appelante, que l'existence d'une assurance- maladie complémentaire se justifie et que les frais médicaux non couverts d'en moyenne 122 fr. 85 par mois paraissent récurrents; Qu'il y a donc, a priori, lieu d'en tenir compte dans les charges incompressibles de l'appelante; Qu'il en va de même de la charge fiscale, dont il n'est pas allégué qu'elle ne serait pas régulièrement acquittée; Que le montant des acomptes actuellement dus peut être estimé, en tenant compte d'une contribution mensuelle de 4'000 fr. versée encore en 2014, à 500 fr. selon la simulation faite à l'aide du logiciel mis à disposition par l'Etat de Genève (http://ge.ch/impots/calcul-et-paiement-des-impots);</w:t>
      </w:r>
    </w:p>
    <w:p>
      <w:r>
        <w:t>- 4/5 -</w:t>
      </w:r>
    </w:p>
    <w:p>
      <w:r>
        <w:t>C/2729/2014 Que les charges incompressibles de l'appelante se montent ainsi, à première vue, à 4'990 fr. par mois, de sorte que son déficit s'élève à 3'425 fr. par mois; Que l'intimé dispose, selon ses allégations en première instance, d'un solde mensuel, après paiement de ses charges et de celles de ses enfants, de plus de 5'500 fr. par mois; Que l'intimé soutient qu'en vertu du principe du clean break, l'appelante doit d'ores et déjà supporter l'intégralité de son déficit; Que, toutefois, l'ordonnance querellée a maintenu le principe d'une contribution d'entretien en faveur de l'épouse, ce que l'intimé n'a pas contesté par un appel; Qu'il sera ainsi retenu qu'a priori et sans préjudice de l'examen au fond, l'appelante peut prétendre à la couverture de ses besoins de base pendant la procédure d'appel; Que, partant, l'effet suspensif sera accordé en tant que la contribution d'entretien est inférieure à 3'425 fr. par mois; Qu'en cas d'admission de l'appel, l'intimé pourra compenser le trop perçu avec la soulte de plus de 300'000 fr. qu'il a été condamné à verser à l'appelante au titre de liquidation du régime matrimonial; Que, par ailleurs, il y a lieu d'accorder l'effet suspensif relatif aux 24'000 fr., ceux-ci ayant été pris en compte dans la liquidation du régime matrimonial;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C/2729/2014 PAR CES MOTIFS, La Chambre civile : Statuant sur suspension de l'exécution : Admet la requête de A______ tendant à la suspension de l'effet exécutoire attaché aux chiffres 1, 2 et 6 du dispositif de l'ordonnance OTPI/1529/2014 rendue le 24 novembre 2014 par le Tribunal de première instance dans la procédure C/2729/2014-10, en tant qu'elle se rapporte au trop perçu de 24'000 fr. et à la réduction en-dessous de 3'425 fr. par mois de la contribution d'entretien courante. La rejette pour le surplus. Dit qu'il sera statué sur les frais et dépens de la présente décision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